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BB2E2" w14:textId="77777777" w:rsidR="00885ED0" w:rsidRDefault="00885ED0" w:rsidP="00885ED0"/>
    <w:p w14:paraId="0F0A7AD3" w14:textId="77777777" w:rsidR="007B7081" w:rsidRDefault="007B7081" w:rsidP="00885ED0"/>
    <w:p w14:paraId="2016984B" w14:textId="77777777" w:rsidR="00885ED0" w:rsidRDefault="00885ED0" w:rsidP="00885ED0"/>
    <w:p w14:paraId="1DDD2C19" w14:textId="77777777" w:rsidR="00885ED0" w:rsidRDefault="00885ED0" w:rsidP="00885ED0"/>
    <w:p w14:paraId="48F16D0F" w14:textId="77777777" w:rsidR="00885ED0" w:rsidRDefault="00885ED0" w:rsidP="00885ED0"/>
    <w:p w14:paraId="70F1B834" w14:textId="77777777" w:rsidR="00885ED0" w:rsidRDefault="00885ED0" w:rsidP="00885ED0">
      <w:pPr>
        <w:jc w:val="center"/>
        <w:rPr>
          <w:rFonts w:cs="Tahoma"/>
        </w:rPr>
      </w:pPr>
    </w:p>
    <w:p w14:paraId="0434A858" w14:textId="77777777" w:rsidR="00885ED0" w:rsidRDefault="00885ED0" w:rsidP="00885ED0">
      <w:pPr>
        <w:jc w:val="center"/>
        <w:rPr>
          <w:rFonts w:cs="Tahoma"/>
        </w:rPr>
      </w:pPr>
    </w:p>
    <w:p w14:paraId="732AD869" w14:textId="77777777" w:rsidR="00885ED0" w:rsidRDefault="00885ED0" w:rsidP="00885ED0">
      <w:pPr>
        <w:jc w:val="center"/>
        <w:rPr>
          <w:rFonts w:cs="Tahoma"/>
        </w:rPr>
      </w:pPr>
    </w:p>
    <w:p w14:paraId="4DBD26EF" w14:textId="77777777" w:rsidR="00885ED0" w:rsidRDefault="00761340" w:rsidP="00885ED0">
      <w:pPr>
        <w:spacing w:line="360" w:lineRule="auto"/>
        <w:jc w:val="center"/>
        <w:rPr>
          <w:rFonts w:cs="Tahoma"/>
          <w:b/>
          <w:bCs/>
          <w:sz w:val="40"/>
          <w:szCs w:val="40"/>
        </w:rPr>
      </w:pPr>
      <w:r w:rsidRPr="00761340">
        <w:rPr>
          <w:rFonts w:cs="Tahoma"/>
          <w:b/>
          <w:bCs/>
          <w:sz w:val="40"/>
          <w:szCs w:val="40"/>
        </w:rPr>
        <w:t xml:space="preserve">Raport o sytuacji </w:t>
      </w:r>
      <w:proofErr w:type="spellStart"/>
      <w:r w:rsidRPr="00761340">
        <w:rPr>
          <w:rFonts w:cs="Tahoma"/>
          <w:b/>
          <w:bCs/>
          <w:sz w:val="40"/>
          <w:szCs w:val="40"/>
        </w:rPr>
        <w:t>ekonomiczno</w:t>
      </w:r>
      <w:proofErr w:type="spellEnd"/>
      <w:r w:rsidRPr="00761340">
        <w:rPr>
          <w:rFonts w:cs="Tahoma"/>
          <w:b/>
          <w:bCs/>
          <w:sz w:val="40"/>
          <w:szCs w:val="40"/>
        </w:rPr>
        <w:t xml:space="preserve"> – finansowej</w:t>
      </w:r>
    </w:p>
    <w:p w14:paraId="6C8B8327" w14:textId="77777777" w:rsidR="00617E71" w:rsidRPr="00147259" w:rsidRDefault="00760763" w:rsidP="001C38F9">
      <w:pPr>
        <w:spacing w:line="360" w:lineRule="auto"/>
        <w:jc w:val="center"/>
        <w:rPr>
          <w:rFonts w:cs="Tahoma"/>
          <w:b/>
          <w:bCs/>
          <w:sz w:val="40"/>
          <w:szCs w:val="40"/>
        </w:rPr>
      </w:pPr>
      <w:r w:rsidRPr="00147259">
        <w:rPr>
          <w:rFonts w:cs="Tahoma"/>
          <w:b/>
          <w:bCs/>
          <w:sz w:val="40"/>
          <w:szCs w:val="40"/>
        </w:rPr>
        <w:t>Wojewódzki</w:t>
      </w:r>
      <w:r w:rsidR="00617E71" w:rsidRPr="00147259">
        <w:rPr>
          <w:rFonts w:cs="Tahoma"/>
          <w:b/>
          <w:bCs/>
          <w:sz w:val="40"/>
          <w:szCs w:val="40"/>
        </w:rPr>
        <w:t xml:space="preserve">ego </w:t>
      </w:r>
      <w:r w:rsidRPr="00147259">
        <w:rPr>
          <w:rFonts w:cs="Tahoma"/>
          <w:b/>
          <w:bCs/>
          <w:sz w:val="40"/>
          <w:szCs w:val="40"/>
        </w:rPr>
        <w:t xml:space="preserve"> Zakład</w:t>
      </w:r>
      <w:r w:rsidR="00617E71" w:rsidRPr="00147259">
        <w:rPr>
          <w:rFonts w:cs="Tahoma"/>
          <w:b/>
          <w:bCs/>
          <w:sz w:val="40"/>
          <w:szCs w:val="40"/>
        </w:rPr>
        <w:t>u</w:t>
      </w:r>
      <w:r w:rsidRPr="00147259">
        <w:rPr>
          <w:rFonts w:cs="Tahoma"/>
          <w:b/>
          <w:bCs/>
          <w:sz w:val="40"/>
          <w:szCs w:val="40"/>
        </w:rPr>
        <w:t xml:space="preserve"> Opieki Zdrowotne</w:t>
      </w:r>
      <w:r w:rsidR="007E0A25">
        <w:rPr>
          <w:rFonts w:cs="Tahoma"/>
          <w:b/>
          <w:bCs/>
          <w:sz w:val="40"/>
          <w:szCs w:val="40"/>
        </w:rPr>
        <w:t>j</w:t>
      </w:r>
      <w:r w:rsidR="00617E71" w:rsidRPr="00147259">
        <w:rPr>
          <w:rFonts w:cs="Tahoma"/>
          <w:b/>
          <w:bCs/>
          <w:sz w:val="40"/>
          <w:szCs w:val="40"/>
        </w:rPr>
        <w:t xml:space="preserve"> nad </w:t>
      </w:r>
      <w:r w:rsidRPr="00147259">
        <w:rPr>
          <w:rFonts w:cs="Tahoma"/>
          <w:b/>
          <w:bCs/>
          <w:sz w:val="40"/>
          <w:szCs w:val="40"/>
        </w:rPr>
        <w:t>Matką, Dzieckiem i Młodzieżą</w:t>
      </w:r>
    </w:p>
    <w:p w14:paraId="3F335153" w14:textId="77777777" w:rsidR="00761340" w:rsidRPr="00147259" w:rsidRDefault="00760763" w:rsidP="001C38F9">
      <w:pPr>
        <w:spacing w:line="360" w:lineRule="auto"/>
        <w:jc w:val="center"/>
        <w:rPr>
          <w:rFonts w:cs="Tahoma"/>
          <w:b/>
          <w:bCs/>
          <w:i/>
          <w:sz w:val="40"/>
          <w:szCs w:val="40"/>
        </w:rPr>
      </w:pPr>
      <w:r w:rsidRPr="00147259">
        <w:rPr>
          <w:rFonts w:cs="Tahoma"/>
          <w:b/>
          <w:bCs/>
          <w:sz w:val="40"/>
          <w:szCs w:val="40"/>
        </w:rPr>
        <w:t xml:space="preserve"> w Częstochowie</w:t>
      </w:r>
    </w:p>
    <w:p w14:paraId="2EC3B532" w14:textId="2ACB1F0F" w:rsidR="00761340" w:rsidRPr="00761340" w:rsidRDefault="005B548B" w:rsidP="00885ED0">
      <w:pPr>
        <w:spacing w:line="360" w:lineRule="auto"/>
        <w:jc w:val="center"/>
        <w:rPr>
          <w:rFonts w:cs="Tahoma"/>
          <w:b/>
          <w:color w:val="FF0000"/>
          <w:sz w:val="40"/>
          <w:szCs w:val="40"/>
        </w:rPr>
      </w:pPr>
      <w:r>
        <w:rPr>
          <w:rFonts w:cs="Tahoma"/>
          <w:b/>
          <w:bCs/>
          <w:sz w:val="40"/>
          <w:szCs w:val="40"/>
        </w:rPr>
        <w:t>za 20</w:t>
      </w:r>
      <w:r w:rsidR="003A60AC">
        <w:rPr>
          <w:rFonts w:cs="Tahoma"/>
          <w:b/>
          <w:bCs/>
          <w:sz w:val="40"/>
          <w:szCs w:val="40"/>
        </w:rPr>
        <w:t>2</w:t>
      </w:r>
      <w:r w:rsidR="006560F5">
        <w:rPr>
          <w:rFonts w:cs="Tahoma"/>
          <w:b/>
          <w:bCs/>
          <w:sz w:val="40"/>
          <w:szCs w:val="40"/>
        </w:rPr>
        <w:t>3</w:t>
      </w:r>
      <w:r w:rsidR="00761340">
        <w:rPr>
          <w:rFonts w:cs="Tahoma"/>
          <w:b/>
          <w:bCs/>
          <w:sz w:val="40"/>
          <w:szCs w:val="40"/>
        </w:rPr>
        <w:t xml:space="preserve"> rok</w:t>
      </w:r>
    </w:p>
    <w:p w14:paraId="250B030D" w14:textId="77777777" w:rsidR="00885ED0" w:rsidRDefault="00885ED0" w:rsidP="00885ED0">
      <w:pPr>
        <w:spacing w:line="360" w:lineRule="auto"/>
        <w:rPr>
          <w:rFonts w:cs="Tahoma"/>
          <w:b/>
          <w:sz w:val="36"/>
          <w:szCs w:val="36"/>
        </w:rPr>
      </w:pPr>
      <w:r>
        <w:rPr>
          <w:rFonts w:cs="Tahoma"/>
          <w:b/>
          <w:sz w:val="36"/>
          <w:szCs w:val="36"/>
        </w:rPr>
        <w:tab/>
        <w:t xml:space="preserve"> </w:t>
      </w:r>
    </w:p>
    <w:p w14:paraId="3280D2EE" w14:textId="77777777" w:rsidR="00885ED0" w:rsidRDefault="00885ED0" w:rsidP="00885ED0">
      <w:pPr>
        <w:spacing w:line="360" w:lineRule="auto"/>
        <w:rPr>
          <w:rFonts w:cs="Tahoma"/>
          <w:b/>
          <w:sz w:val="36"/>
          <w:szCs w:val="36"/>
        </w:rPr>
      </w:pPr>
    </w:p>
    <w:p w14:paraId="1328B9B3" w14:textId="77777777" w:rsidR="00885ED0" w:rsidRDefault="00885ED0" w:rsidP="00885ED0">
      <w:pPr>
        <w:spacing w:line="360" w:lineRule="auto"/>
        <w:rPr>
          <w:rFonts w:cs="Tahoma"/>
          <w:b/>
          <w:sz w:val="36"/>
          <w:szCs w:val="36"/>
        </w:rPr>
      </w:pPr>
    </w:p>
    <w:p w14:paraId="1C68B536" w14:textId="77777777" w:rsidR="00885ED0" w:rsidRDefault="00885ED0" w:rsidP="00885ED0">
      <w:pPr>
        <w:spacing w:line="360" w:lineRule="auto"/>
        <w:rPr>
          <w:rFonts w:cs="Tahoma"/>
          <w:b/>
          <w:sz w:val="36"/>
          <w:szCs w:val="36"/>
        </w:rPr>
      </w:pPr>
    </w:p>
    <w:p w14:paraId="77FCA065" w14:textId="77777777" w:rsidR="00885ED0" w:rsidRDefault="00885ED0" w:rsidP="00885ED0">
      <w:pPr>
        <w:spacing w:line="360" w:lineRule="auto"/>
        <w:rPr>
          <w:rFonts w:cs="Tahoma"/>
          <w:b/>
          <w:sz w:val="36"/>
          <w:szCs w:val="36"/>
        </w:rPr>
      </w:pPr>
      <w:r>
        <w:rPr>
          <w:rFonts w:cs="Tahoma"/>
          <w:b/>
          <w:sz w:val="36"/>
          <w:szCs w:val="36"/>
        </w:rPr>
        <w:t xml:space="preserve"> </w:t>
      </w:r>
    </w:p>
    <w:p w14:paraId="31A24358" w14:textId="77777777" w:rsidR="00885ED0" w:rsidRDefault="00885ED0" w:rsidP="00885ED0">
      <w:pPr>
        <w:jc w:val="center"/>
        <w:rPr>
          <w:rFonts w:cs="Tahoma"/>
        </w:rPr>
      </w:pPr>
    </w:p>
    <w:p w14:paraId="38FE5C2A" w14:textId="77777777" w:rsidR="00885ED0" w:rsidRPr="00357298" w:rsidRDefault="00885ED0" w:rsidP="00885ED0">
      <w:pPr>
        <w:jc w:val="center"/>
        <w:rPr>
          <w:rFonts w:cs="Tahoma"/>
          <w:b/>
        </w:rPr>
      </w:pPr>
    </w:p>
    <w:p w14:paraId="11227EE4" w14:textId="77777777" w:rsidR="00885ED0" w:rsidRDefault="00885ED0" w:rsidP="00885ED0">
      <w:pPr>
        <w:jc w:val="both"/>
        <w:rPr>
          <w:rFonts w:ascii="Arial Narrow" w:hAnsi="Arial Narrow" w:cs="Arial"/>
          <w:b/>
          <w:bCs/>
          <w:szCs w:val="22"/>
        </w:rPr>
      </w:pPr>
    </w:p>
    <w:p w14:paraId="736ABD2D" w14:textId="77777777" w:rsidR="00885ED0" w:rsidRDefault="00885ED0" w:rsidP="00885ED0">
      <w:pPr>
        <w:jc w:val="center"/>
        <w:rPr>
          <w:rFonts w:cs="Tahoma"/>
          <w:b/>
          <w:bCs/>
          <w:sz w:val="28"/>
          <w:szCs w:val="28"/>
        </w:rPr>
      </w:pPr>
    </w:p>
    <w:p w14:paraId="60E86B12" w14:textId="77777777" w:rsidR="00761340" w:rsidRDefault="00761340" w:rsidP="00885ED0">
      <w:pPr>
        <w:jc w:val="center"/>
        <w:rPr>
          <w:rFonts w:cs="Tahoma"/>
          <w:b/>
          <w:bCs/>
          <w:sz w:val="28"/>
          <w:szCs w:val="28"/>
        </w:rPr>
      </w:pPr>
    </w:p>
    <w:p w14:paraId="4F6077F7" w14:textId="77777777" w:rsidR="00761340" w:rsidRDefault="00761340" w:rsidP="00885ED0">
      <w:pPr>
        <w:jc w:val="center"/>
        <w:rPr>
          <w:rFonts w:cs="Tahoma"/>
          <w:b/>
          <w:bCs/>
          <w:sz w:val="28"/>
          <w:szCs w:val="28"/>
        </w:rPr>
      </w:pPr>
    </w:p>
    <w:p w14:paraId="42E7242F" w14:textId="77777777" w:rsidR="00761340" w:rsidRDefault="00761340" w:rsidP="00885ED0">
      <w:pPr>
        <w:jc w:val="center"/>
        <w:rPr>
          <w:rFonts w:cs="Tahoma"/>
          <w:b/>
          <w:bCs/>
          <w:sz w:val="28"/>
          <w:szCs w:val="28"/>
        </w:rPr>
      </w:pPr>
    </w:p>
    <w:p w14:paraId="3863F6AB" w14:textId="77777777" w:rsidR="00761340" w:rsidRDefault="00761340" w:rsidP="00885ED0">
      <w:pPr>
        <w:jc w:val="center"/>
        <w:rPr>
          <w:rFonts w:cs="Tahoma"/>
          <w:b/>
          <w:bCs/>
          <w:sz w:val="28"/>
          <w:szCs w:val="28"/>
        </w:rPr>
      </w:pPr>
    </w:p>
    <w:p w14:paraId="6DFABE8F" w14:textId="77777777" w:rsidR="00761340" w:rsidRDefault="00761340" w:rsidP="00885ED0">
      <w:pPr>
        <w:jc w:val="center"/>
        <w:rPr>
          <w:rFonts w:cs="Tahoma"/>
          <w:b/>
          <w:bCs/>
          <w:sz w:val="28"/>
          <w:szCs w:val="28"/>
        </w:rPr>
      </w:pPr>
    </w:p>
    <w:p w14:paraId="476D55E1" w14:textId="77777777" w:rsidR="00761340" w:rsidRDefault="00761340" w:rsidP="00885ED0">
      <w:pPr>
        <w:jc w:val="center"/>
        <w:rPr>
          <w:rFonts w:cs="Tahoma"/>
          <w:b/>
          <w:bCs/>
          <w:sz w:val="28"/>
          <w:szCs w:val="28"/>
        </w:rPr>
      </w:pPr>
    </w:p>
    <w:p w14:paraId="4884822A" w14:textId="77777777" w:rsidR="00761340" w:rsidRDefault="00761340" w:rsidP="00885ED0">
      <w:pPr>
        <w:jc w:val="center"/>
        <w:rPr>
          <w:rFonts w:cs="Tahoma"/>
          <w:b/>
          <w:bCs/>
          <w:sz w:val="28"/>
          <w:szCs w:val="28"/>
        </w:rPr>
      </w:pPr>
    </w:p>
    <w:p w14:paraId="1E824E8A" w14:textId="77777777" w:rsidR="00761340" w:rsidRDefault="00761340" w:rsidP="00885ED0">
      <w:pPr>
        <w:jc w:val="center"/>
        <w:rPr>
          <w:rFonts w:cs="Tahoma"/>
          <w:b/>
          <w:bCs/>
          <w:sz w:val="28"/>
          <w:szCs w:val="28"/>
        </w:rPr>
      </w:pPr>
    </w:p>
    <w:p w14:paraId="080BD057" w14:textId="77777777" w:rsidR="00761340" w:rsidRDefault="00761340" w:rsidP="00885ED0">
      <w:pPr>
        <w:jc w:val="center"/>
        <w:rPr>
          <w:rFonts w:cs="Tahoma"/>
          <w:b/>
          <w:bCs/>
          <w:sz w:val="28"/>
          <w:szCs w:val="28"/>
        </w:rPr>
      </w:pPr>
    </w:p>
    <w:p w14:paraId="484442AA" w14:textId="77777777" w:rsidR="00885ED0" w:rsidRDefault="00885ED0" w:rsidP="00885ED0">
      <w:pPr>
        <w:jc w:val="center"/>
        <w:rPr>
          <w:rFonts w:cs="Tahoma"/>
          <w:b/>
          <w:bCs/>
          <w:sz w:val="28"/>
          <w:szCs w:val="28"/>
        </w:rPr>
      </w:pPr>
    </w:p>
    <w:p w14:paraId="7DBE6246" w14:textId="77777777" w:rsidR="00885ED0" w:rsidRDefault="00885ED0" w:rsidP="00885ED0">
      <w:pPr>
        <w:jc w:val="center"/>
        <w:rPr>
          <w:rFonts w:cs="Tahoma"/>
          <w:b/>
          <w:bCs/>
          <w:sz w:val="28"/>
          <w:szCs w:val="28"/>
        </w:rPr>
      </w:pPr>
    </w:p>
    <w:p w14:paraId="0BCD1490" w14:textId="77777777" w:rsidR="00761340" w:rsidRDefault="00761340" w:rsidP="00885ED0">
      <w:pPr>
        <w:jc w:val="center"/>
        <w:rPr>
          <w:rFonts w:cs="Tahoma"/>
          <w:b/>
          <w:bCs/>
          <w:sz w:val="28"/>
          <w:szCs w:val="28"/>
        </w:rPr>
      </w:pPr>
    </w:p>
    <w:p w14:paraId="559A98FA" w14:textId="77777777" w:rsidR="00885ED0" w:rsidRPr="009C744E" w:rsidRDefault="00885ED0" w:rsidP="00885ED0">
      <w:pPr>
        <w:jc w:val="center"/>
        <w:rPr>
          <w:rFonts w:cs="Tahoma"/>
          <w:b/>
          <w:bCs/>
          <w:i/>
          <w:sz w:val="28"/>
          <w:szCs w:val="28"/>
        </w:rPr>
      </w:pPr>
    </w:p>
    <w:p w14:paraId="26EB7F4C" w14:textId="3E97AD17" w:rsidR="00885ED0" w:rsidRPr="009C744E" w:rsidRDefault="00760763" w:rsidP="00885ED0">
      <w:pPr>
        <w:jc w:val="center"/>
        <w:rPr>
          <w:rFonts w:cs="Tahoma"/>
          <w:b/>
          <w:bCs/>
          <w:i/>
          <w:sz w:val="28"/>
          <w:szCs w:val="28"/>
        </w:rPr>
      </w:pPr>
      <w:r w:rsidRPr="009C744E">
        <w:rPr>
          <w:rFonts w:cs="Tahoma"/>
          <w:b/>
          <w:bCs/>
          <w:i/>
          <w:sz w:val="28"/>
          <w:szCs w:val="28"/>
        </w:rPr>
        <w:t>Częstochowa</w:t>
      </w:r>
      <w:r w:rsidR="00885ED0" w:rsidRPr="009C744E">
        <w:rPr>
          <w:rFonts w:cs="Tahoma"/>
          <w:b/>
          <w:bCs/>
          <w:i/>
          <w:sz w:val="28"/>
          <w:szCs w:val="28"/>
        </w:rPr>
        <w:t xml:space="preserve">, </w:t>
      </w:r>
      <w:r w:rsidR="00761340" w:rsidRPr="009C744E">
        <w:rPr>
          <w:rFonts w:cs="Tahoma"/>
          <w:b/>
          <w:bCs/>
          <w:i/>
          <w:sz w:val="28"/>
          <w:szCs w:val="28"/>
        </w:rPr>
        <w:t>maj</w:t>
      </w:r>
      <w:r w:rsidR="00885ED0" w:rsidRPr="009C744E">
        <w:rPr>
          <w:rFonts w:cs="Tahoma"/>
          <w:b/>
          <w:bCs/>
          <w:i/>
          <w:sz w:val="28"/>
          <w:szCs w:val="28"/>
        </w:rPr>
        <w:t xml:space="preserve"> 20</w:t>
      </w:r>
      <w:r w:rsidR="00C61303">
        <w:rPr>
          <w:rFonts w:cs="Tahoma"/>
          <w:b/>
          <w:bCs/>
          <w:i/>
          <w:sz w:val="28"/>
          <w:szCs w:val="28"/>
        </w:rPr>
        <w:t>2</w:t>
      </w:r>
      <w:r w:rsidR="00C57488">
        <w:rPr>
          <w:rFonts w:cs="Tahoma"/>
          <w:b/>
          <w:bCs/>
          <w:i/>
          <w:sz w:val="28"/>
          <w:szCs w:val="28"/>
        </w:rPr>
        <w:t>4</w:t>
      </w:r>
      <w:r w:rsidR="00885ED0" w:rsidRPr="009C744E">
        <w:rPr>
          <w:rFonts w:cs="Tahoma"/>
          <w:b/>
          <w:bCs/>
          <w:i/>
          <w:sz w:val="28"/>
          <w:szCs w:val="28"/>
        </w:rPr>
        <w:t xml:space="preserve"> r.</w:t>
      </w:r>
    </w:p>
    <w:p w14:paraId="337F3D3C" w14:textId="77777777" w:rsidR="00885ED0" w:rsidRDefault="00885ED0" w:rsidP="00950070">
      <w:pPr>
        <w:pStyle w:val="Nagwek3"/>
        <w:rPr>
          <w:color w:val="FF0000"/>
        </w:rPr>
      </w:pPr>
    </w:p>
    <w:sdt>
      <w:sdtPr>
        <w:rPr>
          <w:rFonts w:ascii="Times New Roman" w:eastAsia="Lucida Sans Unicode" w:hAnsi="Times New Roman"/>
          <w:b w:val="0"/>
          <w:bCs w:val="0"/>
          <w:color w:val="auto"/>
          <w:sz w:val="24"/>
          <w:szCs w:val="20"/>
          <w:lang w:eastAsia="ar-SA"/>
        </w:rPr>
        <w:id w:val="-926655264"/>
        <w:docPartObj>
          <w:docPartGallery w:val="Table of Contents"/>
          <w:docPartUnique/>
        </w:docPartObj>
      </w:sdtPr>
      <w:sdtContent>
        <w:p w14:paraId="335CEA3C" w14:textId="77777777" w:rsidR="000C7B33" w:rsidRPr="000C7B33" w:rsidRDefault="000C7B33">
          <w:pPr>
            <w:pStyle w:val="Nagwekspisutreci"/>
            <w:rPr>
              <w:color w:val="auto"/>
            </w:rPr>
          </w:pPr>
          <w:r w:rsidRPr="000C7B33">
            <w:rPr>
              <w:color w:val="auto"/>
            </w:rPr>
            <w:t>Spis treści</w:t>
          </w:r>
        </w:p>
        <w:p w14:paraId="375D5757" w14:textId="7FC18C1B" w:rsidR="00124981" w:rsidRDefault="0007691B">
          <w:pPr>
            <w:pStyle w:val="Spistreci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>
            <w:fldChar w:fldCharType="begin"/>
          </w:r>
          <w:r w:rsidR="000C7B33">
            <w:instrText xml:space="preserve"> TOC \o "1-3" \h \z \u </w:instrText>
          </w:r>
          <w:r>
            <w:fldChar w:fldCharType="separate"/>
          </w:r>
          <w:hyperlink w:anchor="_Toc104448281" w:history="1">
            <w:r w:rsidR="00124981" w:rsidRPr="009F5808">
              <w:rPr>
                <w:rStyle w:val="Hipercze"/>
                <w:rFonts w:ascii="Times New Roman" w:hAnsi="Times New Roman"/>
                <w:noProof/>
              </w:rPr>
              <w:t>1. ANALIZA SYTUACJI EKONOMICZNO – FINANSOWEJ SAMODZIELNEGO PUBLICZNEGO ZAKŁADU OPIEKI ZDROWOTNEJ ZA 202</w:t>
            </w:r>
            <w:r w:rsidR="006560F5">
              <w:rPr>
                <w:rStyle w:val="Hipercze"/>
                <w:rFonts w:ascii="Times New Roman" w:hAnsi="Times New Roman"/>
                <w:noProof/>
              </w:rPr>
              <w:t>3</w:t>
            </w:r>
            <w:r w:rsidR="00124981" w:rsidRPr="009F5808">
              <w:rPr>
                <w:rStyle w:val="Hipercze"/>
                <w:rFonts w:ascii="Times New Roman" w:hAnsi="Times New Roman"/>
                <w:noProof/>
              </w:rPr>
              <w:t xml:space="preserve"> ROK</w:t>
            </w:r>
            <w:r w:rsidR="00124981">
              <w:rPr>
                <w:noProof/>
                <w:webHidden/>
              </w:rPr>
              <w:tab/>
            </w:r>
            <w:r w:rsidR="00124981">
              <w:rPr>
                <w:noProof/>
                <w:webHidden/>
              </w:rPr>
              <w:fldChar w:fldCharType="begin"/>
            </w:r>
            <w:r w:rsidR="00124981">
              <w:rPr>
                <w:noProof/>
                <w:webHidden/>
              </w:rPr>
              <w:instrText xml:space="preserve"> PAGEREF _Toc104448281 \h </w:instrText>
            </w:r>
            <w:r w:rsidR="00124981">
              <w:rPr>
                <w:noProof/>
                <w:webHidden/>
              </w:rPr>
            </w:r>
            <w:r w:rsidR="00124981">
              <w:rPr>
                <w:noProof/>
                <w:webHidden/>
              </w:rPr>
              <w:fldChar w:fldCharType="separate"/>
            </w:r>
            <w:r w:rsidR="004E7911">
              <w:rPr>
                <w:noProof/>
                <w:webHidden/>
              </w:rPr>
              <w:t>3</w:t>
            </w:r>
            <w:r w:rsidR="00124981">
              <w:rPr>
                <w:noProof/>
                <w:webHidden/>
              </w:rPr>
              <w:fldChar w:fldCharType="end"/>
            </w:r>
          </w:hyperlink>
        </w:p>
        <w:p w14:paraId="12EC6319" w14:textId="0080ED18" w:rsidR="00124981" w:rsidRDefault="00000000">
          <w:pPr>
            <w:pStyle w:val="Spistreci2"/>
            <w:tabs>
              <w:tab w:val="left" w:pos="720"/>
              <w:tab w:val="right" w:leader="dot" w:pos="9345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pl-PL"/>
            </w:rPr>
          </w:pPr>
          <w:hyperlink w:anchor="_Toc104448282" w:history="1">
            <w:r w:rsidR="00124981" w:rsidRPr="009F5808">
              <w:rPr>
                <w:rStyle w:val="Hipercze"/>
                <w:rFonts w:ascii="Times New Roman" w:hAnsi="Times New Roman"/>
                <w:noProof/>
              </w:rPr>
              <w:t>1.1.</w:t>
            </w:r>
            <w:r w:rsidR="00124981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eastAsia="pl-PL"/>
              </w:rPr>
              <w:tab/>
            </w:r>
            <w:r w:rsidR="00124981" w:rsidRPr="009F5808">
              <w:rPr>
                <w:rStyle w:val="Hipercze"/>
                <w:rFonts w:ascii="Times New Roman" w:hAnsi="Times New Roman"/>
                <w:noProof/>
              </w:rPr>
              <w:t>Analiza wskaźnikowa samodzielnego publicznego zakładu opieki zdrowotnej</w:t>
            </w:r>
            <w:r w:rsidR="00124981">
              <w:rPr>
                <w:noProof/>
                <w:webHidden/>
              </w:rPr>
              <w:tab/>
            </w:r>
            <w:r w:rsidR="00124981">
              <w:rPr>
                <w:noProof/>
                <w:webHidden/>
              </w:rPr>
              <w:fldChar w:fldCharType="begin"/>
            </w:r>
            <w:r w:rsidR="00124981">
              <w:rPr>
                <w:noProof/>
                <w:webHidden/>
              </w:rPr>
              <w:instrText xml:space="preserve"> PAGEREF _Toc104448282 \h </w:instrText>
            </w:r>
            <w:r w:rsidR="00124981">
              <w:rPr>
                <w:noProof/>
                <w:webHidden/>
              </w:rPr>
            </w:r>
            <w:r w:rsidR="00124981">
              <w:rPr>
                <w:noProof/>
                <w:webHidden/>
              </w:rPr>
              <w:fldChar w:fldCharType="separate"/>
            </w:r>
            <w:r w:rsidR="004E7911">
              <w:rPr>
                <w:noProof/>
                <w:webHidden/>
              </w:rPr>
              <w:t>5</w:t>
            </w:r>
            <w:r w:rsidR="00124981">
              <w:rPr>
                <w:noProof/>
                <w:webHidden/>
              </w:rPr>
              <w:fldChar w:fldCharType="end"/>
            </w:r>
          </w:hyperlink>
        </w:p>
        <w:p w14:paraId="11A27C4B" w14:textId="3F72E3C1" w:rsidR="00124981" w:rsidRDefault="00000000">
          <w:pPr>
            <w:pStyle w:val="Spistreci3"/>
            <w:tabs>
              <w:tab w:val="left" w:pos="960"/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04448283" w:history="1">
            <w:r w:rsidR="00124981" w:rsidRPr="009F5808">
              <w:rPr>
                <w:rStyle w:val="Hipercze"/>
                <w:rFonts w:ascii="Times New Roman" w:hAnsi="Times New Roman"/>
                <w:noProof/>
              </w:rPr>
              <w:t>1.1.1.</w:t>
            </w:r>
            <w:r w:rsidR="00124981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124981" w:rsidRPr="009F5808">
              <w:rPr>
                <w:rStyle w:val="Hipercze"/>
                <w:rFonts w:ascii="Times New Roman" w:hAnsi="Times New Roman"/>
                <w:noProof/>
              </w:rPr>
              <w:t>Wskaźniki zyskowności</w:t>
            </w:r>
            <w:r w:rsidR="00124981">
              <w:rPr>
                <w:noProof/>
                <w:webHidden/>
              </w:rPr>
              <w:tab/>
            </w:r>
            <w:r w:rsidR="00124981">
              <w:rPr>
                <w:noProof/>
                <w:webHidden/>
              </w:rPr>
              <w:fldChar w:fldCharType="begin"/>
            </w:r>
            <w:r w:rsidR="00124981">
              <w:rPr>
                <w:noProof/>
                <w:webHidden/>
              </w:rPr>
              <w:instrText xml:space="preserve"> PAGEREF _Toc104448283 \h </w:instrText>
            </w:r>
            <w:r w:rsidR="00124981">
              <w:rPr>
                <w:noProof/>
                <w:webHidden/>
              </w:rPr>
            </w:r>
            <w:r w:rsidR="00124981">
              <w:rPr>
                <w:noProof/>
                <w:webHidden/>
              </w:rPr>
              <w:fldChar w:fldCharType="separate"/>
            </w:r>
            <w:r w:rsidR="004E7911">
              <w:rPr>
                <w:noProof/>
                <w:webHidden/>
              </w:rPr>
              <w:t>5</w:t>
            </w:r>
            <w:r w:rsidR="00124981">
              <w:rPr>
                <w:noProof/>
                <w:webHidden/>
              </w:rPr>
              <w:fldChar w:fldCharType="end"/>
            </w:r>
          </w:hyperlink>
        </w:p>
        <w:p w14:paraId="2187044B" w14:textId="2E165AEA" w:rsidR="00124981" w:rsidRDefault="00000000">
          <w:pPr>
            <w:pStyle w:val="Spistreci3"/>
            <w:tabs>
              <w:tab w:val="left" w:pos="960"/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04448284" w:history="1">
            <w:r w:rsidR="00124981" w:rsidRPr="009F5808">
              <w:rPr>
                <w:rStyle w:val="Hipercze"/>
                <w:rFonts w:ascii="Times New Roman" w:hAnsi="Times New Roman"/>
                <w:noProof/>
              </w:rPr>
              <w:t>1.1.2.</w:t>
            </w:r>
            <w:r w:rsidR="00124981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124981" w:rsidRPr="009F5808">
              <w:rPr>
                <w:rStyle w:val="Hipercze"/>
                <w:rFonts w:ascii="Times New Roman" w:hAnsi="Times New Roman"/>
                <w:noProof/>
              </w:rPr>
              <w:t>Wskaźniki płynności</w:t>
            </w:r>
            <w:r w:rsidR="00124981">
              <w:rPr>
                <w:noProof/>
                <w:webHidden/>
              </w:rPr>
              <w:tab/>
            </w:r>
            <w:r w:rsidR="00124981">
              <w:rPr>
                <w:noProof/>
                <w:webHidden/>
              </w:rPr>
              <w:fldChar w:fldCharType="begin"/>
            </w:r>
            <w:r w:rsidR="00124981">
              <w:rPr>
                <w:noProof/>
                <w:webHidden/>
              </w:rPr>
              <w:instrText xml:space="preserve"> PAGEREF _Toc104448284 \h </w:instrText>
            </w:r>
            <w:r w:rsidR="00124981">
              <w:rPr>
                <w:noProof/>
                <w:webHidden/>
              </w:rPr>
            </w:r>
            <w:r w:rsidR="00124981">
              <w:rPr>
                <w:noProof/>
                <w:webHidden/>
              </w:rPr>
              <w:fldChar w:fldCharType="separate"/>
            </w:r>
            <w:r w:rsidR="004E7911">
              <w:rPr>
                <w:noProof/>
                <w:webHidden/>
              </w:rPr>
              <w:t>6</w:t>
            </w:r>
            <w:r w:rsidR="00124981">
              <w:rPr>
                <w:noProof/>
                <w:webHidden/>
              </w:rPr>
              <w:fldChar w:fldCharType="end"/>
            </w:r>
          </w:hyperlink>
        </w:p>
        <w:p w14:paraId="53BC69D1" w14:textId="6D980AC7" w:rsidR="00124981" w:rsidRDefault="00000000">
          <w:pPr>
            <w:pStyle w:val="Spistreci3"/>
            <w:tabs>
              <w:tab w:val="left" w:pos="960"/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04448285" w:history="1">
            <w:r w:rsidR="00124981" w:rsidRPr="009F5808">
              <w:rPr>
                <w:rStyle w:val="Hipercze"/>
                <w:rFonts w:ascii="Times New Roman" w:hAnsi="Times New Roman"/>
                <w:noProof/>
              </w:rPr>
              <w:t>1.1.3.</w:t>
            </w:r>
            <w:r w:rsidR="00124981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124981" w:rsidRPr="009F5808">
              <w:rPr>
                <w:rStyle w:val="Hipercze"/>
                <w:rFonts w:ascii="Times New Roman" w:hAnsi="Times New Roman"/>
                <w:noProof/>
              </w:rPr>
              <w:t>Wskaźniki efektywności</w:t>
            </w:r>
            <w:r w:rsidR="00124981">
              <w:rPr>
                <w:noProof/>
                <w:webHidden/>
              </w:rPr>
              <w:tab/>
            </w:r>
            <w:r w:rsidR="00124981">
              <w:rPr>
                <w:noProof/>
                <w:webHidden/>
              </w:rPr>
              <w:fldChar w:fldCharType="begin"/>
            </w:r>
            <w:r w:rsidR="00124981">
              <w:rPr>
                <w:noProof/>
                <w:webHidden/>
              </w:rPr>
              <w:instrText xml:space="preserve"> PAGEREF _Toc104448285 \h </w:instrText>
            </w:r>
            <w:r w:rsidR="00124981">
              <w:rPr>
                <w:noProof/>
                <w:webHidden/>
              </w:rPr>
            </w:r>
            <w:r w:rsidR="00124981">
              <w:rPr>
                <w:noProof/>
                <w:webHidden/>
              </w:rPr>
              <w:fldChar w:fldCharType="separate"/>
            </w:r>
            <w:r w:rsidR="004E7911">
              <w:rPr>
                <w:noProof/>
                <w:webHidden/>
              </w:rPr>
              <w:t>8</w:t>
            </w:r>
            <w:r w:rsidR="00124981">
              <w:rPr>
                <w:noProof/>
                <w:webHidden/>
              </w:rPr>
              <w:fldChar w:fldCharType="end"/>
            </w:r>
          </w:hyperlink>
        </w:p>
        <w:p w14:paraId="38D757B2" w14:textId="15D2C6F0" w:rsidR="00124981" w:rsidRDefault="00000000">
          <w:pPr>
            <w:pStyle w:val="Spistreci3"/>
            <w:tabs>
              <w:tab w:val="left" w:pos="960"/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04448287" w:history="1">
            <w:r w:rsidR="00124981" w:rsidRPr="009F5808">
              <w:rPr>
                <w:rStyle w:val="Hipercze"/>
                <w:rFonts w:ascii="Times New Roman" w:hAnsi="Times New Roman"/>
                <w:noProof/>
              </w:rPr>
              <w:t>1.1.4.</w:t>
            </w:r>
            <w:r w:rsidR="00124981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124981" w:rsidRPr="009F5808">
              <w:rPr>
                <w:rStyle w:val="Hipercze"/>
                <w:rFonts w:ascii="Times New Roman" w:hAnsi="Times New Roman"/>
                <w:noProof/>
              </w:rPr>
              <w:t>Wskaźniki zadłużenia</w:t>
            </w:r>
            <w:r w:rsidR="00124981">
              <w:rPr>
                <w:noProof/>
                <w:webHidden/>
              </w:rPr>
              <w:tab/>
            </w:r>
            <w:r w:rsidR="00124981">
              <w:rPr>
                <w:noProof/>
                <w:webHidden/>
              </w:rPr>
              <w:fldChar w:fldCharType="begin"/>
            </w:r>
            <w:r w:rsidR="00124981">
              <w:rPr>
                <w:noProof/>
                <w:webHidden/>
              </w:rPr>
              <w:instrText xml:space="preserve"> PAGEREF _Toc104448287 \h </w:instrText>
            </w:r>
            <w:r w:rsidR="00124981">
              <w:rPr>
                <w:noProof/>
                <w:webHidden/>
              </w:rPr>
            </w:r>
            <w:r w:rsidR="00124981">
              <w:rPr>
                <w:noProof/>
                <w:webHidden/>
              </w:rPr>
              <w:fldChar w:fldCharType="separate"/>
            </w:r>
            <w:r w:rsidR="004E7911">
              <w:rPr>
                <w:noProof/>
                <w:webHidden/>
              </w:rPr>
              <w:t>9</w:t>
            </w:r>
            <w:r w:rsidR="00124981">
              <w:rPr>
                <w:noProof/>
                <w:webHidden/>
              </w:rPr>
              <w:fldChar w:fldCharType="end"/>
            </w:r>
          </w:hyperlink>
        </w:p>
        <w:p w14:paraId="384C0914" w14:textId="31B515A6" w:rsidR="00124981" w:rsidRDefault="00000000">
          <w:pPr>
            <w:pStyle w:val="Spistreci2"/>
            <w:tabs>
              <w:tab w:val="left" w:pos="720"/>
              <w:tab w:val="right" w:leader="dot" w:pos="9345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pl-PL"/>
            </w:rPr>
          </w:pPr>
          <w:hyperlink w:anchor="_Toc104448288" w:history="1">
            <w:r w:rsidR="00124981" w:rsidRPr="009F5808">
              <w:rPr>
                <w:rStyle w:val="Hipercze"/>
                <w:rFonts w:ascii="Times New Roman" w:hAnsi="Times New Roman"/>
                <w:noProof/>
              </w:rPr>
              <w:t>1.2.</w:t>
            </w:r>
            <w:r w:rsidR="00124981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eastAsia="pl-PL"/>
              </w:rPr>
              <w:tab/>
            </w:r>
            <w:r w:rsidR="00124981" w:rsidRPr="009F5808">
              <w:rPr>
                <w:rStyle w:val="Hipercze"/>
                <w:rFonts w:ascii="Times New Roman" w:hAnsi="Times New Roman"/>
                <w:noProof/>
              </w:rPr>
              <w:t>Ocena wskaźnikowa sytuacji ekonomiczno – finansowej samodzielnego publicznego zakładu opieki zdrowotnej</w:t>
            </w:r>
            <w:r w:rsidR="00124981">
              <w:rPr>
                <w:noProof/>
                <w:webHidden/>
              </w:rPr>
              <w:tab/>
            </w:r>
            <w:r w:rsidR="00124981">
              <w:rPr>
                <w:noProof/>
                <w:webHidden/>
              </w:rPr>
              <w:fldChar w:fldCharType="begin"/>
            </w:r>
            <w:r w:rsidR="00124981">
              <w:rPr>
                <w:noProof/>
                <w:webHidden/>
              </w:rPr>
              <w:instrText xml:space="preserve"> PAGEREF _Toc104448288 \h </w:instrText>
            </w:r>
            <w:r w:rsidR="00124981">
              <w:rPr>
                <w:noProof/>
                <w:webHidden/>
              </w:rPr>
            </w:r>
            <w:r w:rsidR="00124981">
              <w:rPr>
                <w:noProof/>
                <w:webHidden/>
              </w:rPr>
              <w:fldChar w:fldCharType="separate"/>
            </w:r>
            <w:r w:rsidR="004E7911">
              <w:rPr>
                <w:noProof/>
                <w:webHidden/>
              </w:rPr>
              <w:t>10</w:t>
            </w:r>
            <w:r w:rsidR="00124981">
              <w:rPr>
                <w:noProof/>
                <w:webHidden/>
              </w:rPr>
              <w:fldChar w:fldCharType="end"/>
            </w:r>
          </w:hyperlink>
        </w:p>
        <w:p w14:paraId="58050DB2" w14:textId="73D7EEB2" w:rsidR="00124981" w:rsidRDefault="00000000">
          <w:pPr>
            <w:pStyle w:val="Spistreci2"/>
            <w:tabs>
              <w:tab w:val="left" w:pos="720"/>
              <w:tab w:val="right" w:leader="dot" w:pos="9345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pl-PL"/>
            </w:rPr>
          </w:pPr>
          <w:hyperlink w:anchor="_Toc104448289" w:history="1">
            <w:r w:rsidR="00124981" w:rsidRPr="009F5808">
              <w:rPr>
                <w:rStyle w:val="Hipercze"/>
                <w:rFonts w:ascii="Times New Roman" w:hAnsi="Times New Roman"/>
                <w:noProof/>
              </w:rPr>
              <w:t>1.3.</w:t>
            </w:r>
            <w:r w:rsidR="00124981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eastAsia="pl-PL"/>
              </w:rPr>
              <w:tab/>
            </w:r>
            <w:r w:rsidR="00124981" w:rsidRPr="009F5808">
              <w:rPr>
                <w:rStyle w:val="Hipercze"/>
                <w:rFonts w:ascii="Times New Roman" w:hAnsi="Times New Roman"/>
                <w:noProof/>
              </w:rPr>
              <w:t>Podsumowanie analizy sytuacji ekonomiczno – finansowej podmiotu leczniczego za 202</w:t>
            </w:r>
            <w:r w:rsidR="001E684C">
              <w:rPr>
                <w:rStyle w:val="Hipercze"/>
                <w:rFonts w:ascii="Times New Roman" w:hAnsi="Times New Roman"/>
                <w:noProof/>
              </w:rPr>
              <w:t>2</w:t>
            </w:r>
            <w:r w:rsidR="00124981" w:rsidRPr="009F5808">
              <w:rPr>
                <w:rStyle w:val="Hipercze"/>
                <w:rFonts w:ascii="Times New Roman" w:hAnsi="Times New Roman"/>
                <w:noProof/>
              </w:rPr>
              <w:t xml:space="preserve"> rok - wnioski</w:t>
            </w:r>
            <w:r w:rsidR="00124981">
              <w:rPr>
                <w:noProof/>
                <w:webHidden/>
              </w:rPr>
              <w:tab/>
            </w:r>
            <w:r w:rsidR="00124981">
              <w:rPr>
                <w:noProof/>
                <w:webHidden/>
              </w:rPr>
              <w:fldChar w:fldCharType="begin"/>
            </w:r>
            <w:r w:rsidR="00124981">
              <w:rPr>
                <w:noProof/>
                <w:webHidden/>
              </w:rPr>
              <w:instrText xml:space="preserve"> PAGEREF _Toc104448289 \h </w:instrText>
            </w:r>
            <w:r w:rsidR="00124981">
              <w:rPr>
                <w:noProof/>
                <w:webHidden/>
              </w:rPr>
            </w:r>
            <w:r w:rsidR="00124981">
              <w:rPr>
                <w:noProof/>
                <w:webHidden/>
              </w:rPr>
              <w:fldChar w:fldCharType="separate"/>
            </w:r>
            <w:r w:rsidR="004E7911">
              <w:rPr>
                <w:noProof/>
                <w:webHidden/>
              </w:rPr>
              <w:t>11</w:t>
            </w:r>
            <w:r w:rsidR="00124981">
              <w:rPr>
                <w:noProof/>
                <w:webHidden/>
              </w:rPr>
              <w:fldChar w:fldCharType="end"/>
            </w:r>
          </w:hyperlink>
        </w:p>
        <w:p w14:paraId="54EB3FCD" w14:textId="4E28A758" w:rsidR="00124981" w:rsidRDefault="00000000">
          <w:pPr>
            <w:pStyle w:val="Spistreci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104448290" w:history="1">
            <w:r w:rsidR="00124981" w:rsidRPr="009F5808">
              <w:rPr>
                <w:rStyle w:val="Hipercze"/>
                <w:rFonts w:ascii="Times New Roman" w:hAnsi="Times New Roman"/>
                <w:noProof/>
              </w:rPr>
              <w:t>2. PROGNOZA SYTUACJI EKONOMICZNO – FINANSOWEJ NA KOLEJNE TRZY LATA OBROTOWE (202</w:t>
            </w:r>
            <w:r w:rsidR="006560F5">
              <w:rPr>
                <w:rStyle w:val="Hipercze"/>
                <w:rFonts w:ascii="Times New Roman" w:hAnsi="Times New Roman"/>
                <w:noProof/>
              </w:rPr>
              <w:t>4</w:t>
            </w:r>
            <w:r w:rsidR="00124981" w:rsidRPr="009F5808">
              <w:rPr>
                <w:rStyle w:val="Hipercze"/>
                <w:rFonts w:ascii="Times New Roman" w:hAnsi="Times New Roman"/>
                <w:noProof/>
              </w:rPr>
              <w:t>, 202</w:t>
            </w:r>
            <w:r w:rsidR="006560F5">
              <w:rPr>
                <w:rStyle w:val="Hipercze"/>
                <w:rFonts w:ascii="Times New Roman" w:hAnsi="Times New Roman"/>
                <w:noProof/>
              </w:rPr>
              <w:t>5</w:t>
            </w:r>
            <w:r w:rsidR="00124981" w:rsidRPr="009F5808">
              <w:rPr>
                <w:rStyle w:val="Hipercze"/>
                <w:rFonts w:ascii="Times New Roman" w:hAnsi="Times New Roman"/>
                <w:noProof/>
              </w:rPr>
              <w:t>, 202</w:t>
            </w:r>
            <w:r w:rsidR="006560F5">
              <w:rPr>
                <w:rStyle w:val="Hipercze"/>
                <w:rFonts w:ascii="Times New Roman" w:hAnsi="Times New Roman"/>
                <w:noProof/>
              </w:rPr>
              <w:t>6</w:t>
            </w:r>
            <w:r w:rsidR="00124981" w:rsidRPr="009F5808">
              <w:rPr>
                <w:rStyle w:val="Hipercze"/>
                <w:rFonts w:ascii="Times New Roman" w:hAnsi="Times New Roman"/>
                <w:noProof/>
              </w:rPr>
              <w:t>) WRAZ Z OPISEM PRZYJĘTYCH ZAŁOŻEŃ</w:t>
            </w:r>
            <w:r w:rsidR="00124981">
              <w:rPr>
                <w:noProof/>
                <w:webHidden/>
              </w:rPr>
              <w:tab/>
            </w:r>
            <w:r w:rsidR="00124981">
              <w:rPr>
                <w:noProof/>
                <w:webHidden/>
              </w:rPr>
              <w:fldChar w:fldCharType="begin"/>
            </w:r>
            <w:r w:rsidR="00124981">
              <w:rPr>
                <w:noProof/>
                <w:webHidden/>
              </w:rPr>
              <w:instrText xml:space="preserve"> PAGEREF _Toc104448290 \h </w:instrText>
            </w:r>
            <w:r w:rsidR="00124981">
              <w:rPr>
                <w:noProof/>
                <w:webHidden/>
              </w:rPr>
            </w:r>
            <w:r w:rsidR="00124981">
              <w:rPr>
                <w:noProof/>
                <w:webHidden/>
              </w:rPr>
              <w:fldChar w:fldCharType="separate"/>
            </w:r>
            <w:r w:rsidR="004E7911">
              <w:rPr>
                <w:noProof/>
                <w:webHidden/>
              </w:rPr>
              <w:t>11</w:t>
            </w:r>
            <w:r w:rsidR="00124981">
              <w:rPr>
                <w:noProof/>
                <w:webHidden/>
              </w:rPr>
              <w:fldChar w:fldCharType="end"/>
            </w:r>
          </w:hyperlink>
        </w:p>
        <w:p w14:paraId="5FFB8904" w14:textId="492AB205" w:rsidR="00124981" w:rsidRDefault="00000000">
          <w:pPr>
            <w:pStyle w:val="Spistreci2"/>
            <w:tabs>
              <w:tab w:val="right" w:leader="dot" w:pos="9345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pl-PL"/>
            </w:rPr>
          </w:pPr>
          <w:hyperlink w:anchor="_Toc104448291" w:history="1">
            <w:r w:rsidR="00124981" w:rsidRPr="009F5808">
              <w:rPr>
                <w:rStyle w:val="Hipercze"/>
                <w:rFonts w:ascii="Times New Roman" w:hAnsi="Times New Roman"/>
                <w:noProof/>
              </w:rPr>
              <w:t>2.1. Opis przyjętych założeń makroekonomicznych i mikroekonomicznych z uwzględnieniem ich wpływu na projekcję dotyczącą sprawozdań finansowych w latach objętych prognozą</w:t>
            </w:r>
            <w:r w:rsidR="00124981">
              <w:rPr>
                <w:noProof/>
                <w:webHidden/>
              </w:rPr>
              <w:tab/>
            </w:r>
            <w:r w:rsidR="00124981">
              <w:rPr>
                <w:noProof/>
                <w:webHidden/>
              </w:rPr>
              <w:fldChar w:fldCharType="begin"/>
            </w:r>
            <w:r w:rsidR="00124981">
              <w:rPr>
                <w:noProof/>
                <w:webHidden/>
              </w:rPr>
              <w:instrText xml:space="preserve"> PAGEREF _Toc104448291 \h </w:instrText>
            </w:r>
            <w:r w:rsidR="00124981">
              <w:rPr>
                <w:noProof/>
                <w:webHidden/>
              </w:rPr>
            </w:r>
            <w:r w:rsidR="00124981">
              <w:rPr>
                <w:noProof/>
                <w:webHidden/>
              </w:rPr>
              <w:fldChar w:fldCharType="separate"/>
            </w:r>
            <w:r w:rsidR="004E7911">
              <w:rPr>
                <w:noProof/>
                <w:webHidden/>
              </w:rPr>
              <w:t>11</w:t>
            </w:r>
            <w:r w:rsidR="00124981">
              <w:rPr>
                <w:noProof/>
                <w:webHidden/>
              </w:rPr>
              <w:fldChar w:fldCharType="end"/>
            </w:r>
          </w:hyperlink>
        </w:p>
        <w:p w14:paraId="38E681EE" w14:textId="3AFB6759" w:rsidR="00124981" w:rsidRDefault="00000000">
          <w:pPr>
            <w:pStyle w:val="Spistreci2"/>
            <w:tabs>
              <w:tab w:val="right" w:leader="dot" w:pos="9345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pl-PL"/>
            </w:rPr>
          </w:pPr>
          <w:hyperlink w:anchor="_Toc104448293" w:history="1">
            <w:r w:rsidR="00124981" w:rsidRPr="009F5808">
              <w:rPr>
                <w:rStyle w:val="Hipercze"/>
                <w:rFonts w:ascii="Times New Roman" w:hAnsi="Times New Roman"/>
                <w:noProof/>
              </w:rPr>
              <w:t>2.2. Prognoza rachunku zysków i strat na lata 202</w:t>
            </w:r>
            <w:r w:rsidR="006560F5">
              <w:rPr>
                <w:rStyle w:val="Hipercze"/>
                <w:rFonts w:ascii="Times New Roman" w:hAnsi="Times New Roman"/>
                <w:noProof/>
              </w:rPr>
              <w:t>4</w:t>
            </w:r>
            <w:r w:rsidR="00124981" w:rsidRPr="009F5808">
              <w:rPr>
                <w:rStyle w:val="Hipercze"/>
                <w:rFonts w:ascii="Times New Roman" w:hAnsi="Times New Roman"/>
                <w:noProof/>
              </w:rPr>
              <w:t>, 202</w:t>
            </w:r>
            <w:r w:rsidR="006560F5">
              <w:rPr>
                <w:rStyle w:val="Hipercze"/>
                <w:rFonts w:ascii="Times New Roman" w:hAnsi="Times New Roman"/>
                <w:noProof/>
              </w:rPr>
              <w:t>5</w:t>
            </w:r>
            <w:r w:rsidR="00124981" w:rsidRPr="009F5808">
              <w:rPr>
                <w:rStyle w:val="Hipercze"/>
                <w:rFonts w:ascii="Times New Roman" w:hAnsi="Times New Roman"/>
                <w:noProof/>
              </w:rPr>
              <w:t xml:space="preserve"> i 202</w:t>
            </w:r>
            <w:r w:rsidR="006560F5">
              <w:rPr>
                <w:rStyle w:val="Hipercze"/>
                <w:rFonts w:ascii="Times New Roman" w:hAnsi="Times New Roman"/>
                <w:noProof/>
              </w:rPr>
              <w:t>6</w:t>
            </w:r>
            <w:r w:rsidR="00124981">
              <w:rPr>
                <w:noProof/>
                <w:webHidden/>
              </w:rPr>
              <w:tab/>
            </w:r>
            <w:r w:rsidR="00124981">
              <w:rPr>
                <w:noProof/>
                <w:webHidden/>
              </w:rPr>
              <w:fldChar w:fldCharType="begin"/>
            </w:r>
            <w:r w:rsidR="00124981">
              <w:rPr>
                <w:noProof/>
                <w:webHidden/>
              </w:rPr>
              <w:instrText xml:space="preserve"> PAGEREF _Toc104448293 \h </w:instrText>
            </w:r>
            <w:r w:rsidR="00124981">
              <w:rPr>
                <w:noProof/>
                <w:webHidden/>
              </w:rPr>
            </w:r>
            <w:r w:rsidR="00124981">
              <w:rPr>
                <w:noProof/>
                <w:webHidden/>
              </w:rPr>
              <w:fldChar w:fldCharType="separate"/>
            </w:r>
            <w:r w:rsidR="004E7911">
              <w:rPr>
                <w:noProof/>
                <w:webHidden/>
              </w:rPr>
              <w:t>17</w:t>
            </w:r>
            <w:r w:rsidR="00124981">
              <w:rPr>
                <w:noProof/>
                <w:webHidden/>
              </w:rPr>
              <w:fldChar w:fldCharType="end"/>
            </w:r>
          </w:hyperlink>
        </w:p>
        <w:p w14:paraId="7E136B7D" w14:textId="1A849464" w:rsidR="00124981" w:rsidRDefault="00000000">
          <w:pPr>
            <w:pStyle w:val="Spistreci2"/>
            <w:tabs>
              <w:tab w:val="right" w:leader="dot" w:pos="9345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pl-PL"/>
            </w:rPr>
          </w:pPr>
          <w:hyperlink w:anchor="_Toc104448294" w:history="1">
            <w:r w:rsidR="00124981" w:rsidRPr="009F5808">
              <w:rPr>
                <w:rStyle w:val="Hipercze"/>
                <w:rFonts w:ascii="Times New Roman" w:hAnsi="Times New Roman"/>
                <w:noProof/>
              </w:rPr>
              <w:t>2.3. Prognoza bilansu na lata 202</w:t>
            </w:r>
            <w:r w:rsidR="006560F5">
              <w:rPr>
                <w:rStyle w:val="Hipercze"/>
                <w:rFonts w:ascii="Times New Roman" w:hAnsi="Times New Roman"/>
                <w:noProof/>
              </w:rPr>
              <w:t>4</w:t>
            </w:r>
            <w:r w:rsidR="00124981" w:rsidRPr="009F5808">
              <w:rPr>
                <w:rStyle w:val="Hipercze"/>
                <w:rFonts w:ascii="Times New Roman" w:hAnsi="Times New Roman"/>
                <w:noProof/>
              </w:rPr>
              <w:t>, 202</w:t>
            </w:r>
            <w:r w:rsidR="006560F5">
              <w:rPr>
                <w:rStyle w:val="Hipercze"/>
                <w:rFonts w:ascii="Times New Roman" w:hAnsi="Times New Roman"/>
                <w:noProof/>
              </w:rPr>
              <w:t>5</w:t>
            </w:r>
            <w:r w:rsidR="001E684C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124981" w:rsidRPr="009F5808">
              <w:rPr>
                <w:rStyle w:val="Hipercze"/>
                <w:rFonts w:ascii="Times New Roman" w:hAnsi="Times New Roman"/>
                <w:noProof/>
              </w:rPr>
              <w:t>i 202</w:t>
            </w:r>
            <w:r w:rsidR="006560F5">
              <w:rPr>
                <w:rStyle w:val="Hipercze"/>
                <w:rFonts w:ascii="Times New Roman" w:hAnsi="Times New Roman"/>
                <w:noProof/>
              </w:rPr>
              <w:t>6</w:t>
            </w:r>
            <w:r w:rsidR="00124981">
              <w:rPr>
                <w:noProof/>
                <w:webHidden/>
              </w:rPr>
              <w:tab/>
            </w:r>
            <w:r w:rsidR="00124981">
              <w:rPr>
                <w:noProof/>
                <w:webHidden/>
              </w:rPr>
              <w:fldChar w:fldCharType="begin"/>
            </w:r>
            <w:r w:rsidR="00124981">
              <w:rPr>
                <w:noProof/>
                <w:webHidden/>
              </w:rPr>
              <w:instrText xml:space="preserve"> PAGEREF _Toc104448294 \h </w:instrText>
            </w:r>
            <w:r w:rsidR="00124981">
              <w:rPr>
                <w:noProof/>
                <w:webHidden/>
              </w:rPr>
            </w:r>
            <w:r w:rsidR="00124981">
              <w:rPr>
                <w:noProof/>
                <w:webHidden/>
              </w:rPr>
              <w:fldChar w:fldCharType="separate"/>
            </w:r>
            <w:r w:rsidR="004E7911">
              <w:rPr>
                <w:noProof/>
                <w:webHidden/>
              </w:rPr>
              <w:t>20</w:t>
            </w:r>
            <w:r w:rsidR="00124981">
              <w:rPr>
                <w:noProof/>
                <w:webHidden/>
              </w:rPr>
              <w:fldChar w:fldCharType="end"/>
            </w:r>
          </w:hyperlink>
        </w:p>
        <w:p w14:paraId="4A0F870E" w14:textId="321CFA27" w:rsidR="00124981" w:rsidRDefault="00000000">
          <w:pPr>
            <w:pStyle w:val="Spistreci2"/>
            <w:tabs>
              <w:tab w:val="right" w:leader="dot" w:pos="9345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pl-PL"/>
            </w:rPr>
          </w:pPr>
          <w:hyperlink w:anchor="_Toc104448295" w:history="1">
            <w:r w:rsidR="00124981" w:rsidRPr="009F5808">
              <w:rPr>
                <w:rStyle w:val="Hipercze"/>
                <w:rFonts w:ascii="Times New Roman" w:hAnsi="Times New Roman"/>
                <w:noProof/>
              </w:rPr>
              <w:t>2.4. Prognoza wartości wskaźników ekonomiczno – finansowych wraz z podsumowaniem wyników prognozy wskaźnikowej projekcji sytuacji ekonomiczno – finansowej na lata 202</w:t>
            </w:r>
            <w:r w:rsidR="006560F5">
              <w:rPr>
                <w:rStyle w:val="Hipercze"/>
                <w:rFonts w:ascii="Times New Roman" w:hAnsi="Times New Roman"/>
                <w:noProof/>
              </w:rPr>
              <w:t>4</w:t>
            </w:r>
            <w:r w:rsidR="00124981" w:rsidRPr="009F5808">
              <w:rPr>
                <w:rStyle w:val="Hipercze"/>
                <w:rFonts w:ascii="Times New Roman" w:hAnsi="Times New Roman"/>
                <w:noProof/>
              </w:rPr>
              <w:t>, 202</w:t>
            </w:r>
            <w:r w:rsidR="006560F5">
              <w:rPr>
                <w:rStyle w:val="Hipercze"/>
                <w:rFonts w:ascii="Times New Roman" w:hAnsi="Times New Roman"/>
                <w:noProof/>
              </w:rPr>
              <w:t xml:space="preserve">5 </w:t>
            </w:r>
            <w:r w:rsidR="00124981" w:rsidRPr="009F5808">
              <w:rPr>
                <w:rStyle w:val="Hipercze"/>
                <w:rFonts w:ascii="Times New Roman" w:hAnsi="Times New Roman"/>
                <w:noProof/>
              </w:rPr>
              <w:t>i 202</w:t>
            </w:r>
            <w:r w:rsidR="006560F5">
              <w:rPr>
                <w:rStyle w:val="Hipercze"/>
                <w:rFonts w:ascii="Times New Roman" w:hAnsi="Times New Roman"/>
                <w:noProof/>
              </w:rPr>
              <w:t>6</w:t>
            </w:r>
            <w:r w:rsidR="00124981">
              <w:rPr>
                <w:noProof/>
                <w:webHidden/>
              </w:rPr>
              <w:tab/>
            </w:r>
            <w:r w:rsidR="00124981">
              <w:rPr>
                <w:noProof/>
                <w:webHidden/>
              </w:rPr>
              <w:fldChar w:fldCharType="begin"/>
            </w:r>
            <w:r w:rsidR="00124981">
              <w:rPr>
                <w:noProof/>
                <w:webHidden/>
              </w:rPr>
              <w:instrText xml:space="preserve"> PAGEREF _Toc104448295 \h </w:instrText>
            </w:r>
            <w:r w:rsidR="00124981">
              <w:rPr>
                <w:noProof/>
                <w:webHidden/>
              </w:rPr>
            </w:r>
            <w:r w:rsidR="00124981">
              <w:rPr>
                <w:noProof/>
                <w:webHidden/>
              </w:rPr>
              <w:fldChar w:fldCharType="separate"/>
            </w:r>
            <w:r w:rsidR="004E7911">
              <w:rPr>
                <w:noProof/>
                <w:webHidden/>
              </w:rPr>
              <w:t>29</w:t>
            </w:r>
            <w:r w:rsidR="00124981">
              <w:rPr>
                <w:noProof/>
                <w:webHidden/>
              </w:rPr>
              <w:fldChar w:fldCharType="end"/>
            </w:r>
          </w:hyperlink>
        </w:p>
        <w:p w14:paraId="50BD0C9C" w14:textId="78516C85" w:rsidR="00124981" w:rsidRDefault="00000000">
          <w:pPr>
            <w:pStyle w:val="Spistreci2"/>
            <w:tabs>
              <w:tab w:val="right" w:leader="dot" w:pos="9345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pl-PL"/>
            </w:rPr>
          </w:pPr>
          <w:hyperlink w:anchor="_Toc104448296" w:history="1">
            <w:r w:rsidR="00124981" w:rsidRPr="009F5808">
              <w:rPr>
                <w:rStyle w:val="Hipercze"/>
                <w:rFonts w:ascii="Times New Roman" w:hAnsi="Times New Roman"/>
                <w:noProof/>
              </w:rPr>
              <w:t>2.5. Podsumowanie prognozy</w:t>
            </w:r>
            <w:r w:rsidR="00124981">
              <w:rPr>
                <w:noProof/>
                <w:webHidden/>
              </w:rPr>
              <w:tab/>
            </w:r>
            <w:r w:rsidR="00124981">
              <w:rPr>
                <w:noProof/>
                <w:webHidden/>
              </w:rPr>
              <w:fldChar w:fldCharType="begin"/>
            </w:r>
            <w:r w:rsidR="00124981">
              <w:rPr>
                <w:noProof/>
                <w:webHidden/>
              </w:rPr>
              <w:instrText xml:space="preserve"> PAGEREF _Toc104448296 \h </w:instrText>
            </w:r>
            <w:r w:rsidR="00124981">
              <w:rPr>
                <w:noProof/>
                <w:webHidden/>
              </w:rPr>
            </w:r>
            <w:r w:rsidR="00124981">
              <w:rPr>
                <w:noProof/>
                <w:webHidden/>
              </w:rPr>
              <w:fldChar w:fldCharType="separate"/>
            </w:r>
            <w:r w:rsidR="004E7911">
              <w:rPr>
                <w:noProof/>
                <w:webHidden/>
              </w:rPr>
              <w:t>30</w:t>
            </w:r>
            <w:r w:rsidR="00124981">
              <w:rPr>
                <w:noProof/>
                <w:webHidden/>
              </w:rPr>
              <w:fldChar w:fldCharType="end"/>
            </w:r>
          </w:hyperlink>
        </w:p>
        <w:p w14:paraId="446BF787" w14:textId="004916C2" w:rsidR="00124981" w:rsidRDefault="00000000">
          <w:pPr>
            <w:pStyle w:val="Spistreci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104448298" w:history="1">
            <w:r w:rsidR="00124981" w:rsidRPr="009F5808">
              <w:rPr>
                <w:rStyle w:val="Hipercze"/>
                <w:rFonts w:ascii="Times New Roman" w:hAnsi="Times New Roman"/>
                <w:noProof/>
              </w:rPr>
              <w:t>3. INFORMACJA O ISTOTNYCH ZDARZENIACH MAJĄCYCH WPŁYW NA SYTUACJĘ EKONOMICZNO – FINANSOWĄ SAMODZIELNEGO PUBLICZNEGO ZAKŁADU OPIEKI ZDROWOTNEJ</w:t>
            </w:r>
            <w:r w:rsidR="00124981">
              <w:rPr>
                <w:noProof/>
                <w:webHidden/>
              </w:rPr>
              <w:tab/>
            </w:r>
            <w:r w:rsidR="00124981">
              <w:rPr>
                <w:noProof/>
                <w:webHidden/>
              </w:rPr>
              <w:fldChar w:fldCharType="begin"/>
            </w:r>
            <w:r w:rsidR="00124981">
              <w:rPr>
                <w:noProof/>
                <w:webHidden/>
              </w:rPr>
              <w:instrText xml:space="preserve"> PAGEREF _Toc104448298 \h </w:instrText>
            </w:r>
            <w:r w:rsidR="00124981">
              <w:rPr>
                <w:noProof/>
                <w:webHidden/>
              </w:rPr>
            </w:r>
            <w:r w:rsidR="00124981">
              <w:rPr>
                <w:noProof/>
                <w:webHidden/>
              </w:rPr>
              <w:fldChar w:fldCharType="separate"/>
            </w:r>
            <w:r w:rsidR="004E7911">
              <w:rPr>
                <w:noProof/>
                <w:webHidden/>
              </w:rPr>
              <w:t>31</w:t>
            </w:r>
            <w:r w:rsidR="00124981">
              <w:rPr>
                <w:noProof/>
                <w:webHidden/>
              </w:rPr>
              <w:fldChar w:fldCharType="end"/>
            </w:r>
          </w:hyperlink>
        </w:p>
        <w:p w14:paraId="59C5019B" w14:textId="7D03C10B" w:rsidR="000C7B33" w:rsidRDefault="0007691B">
          <w:r>
            <w:rPr>
              <w:b/>
              <w:bCs/>
            </w:rPr>
            <w:fldChar w:fldCharType="end"/>
          </w:r>
        </w:p>
      </w:sdtContent>
    </w:sdt>
    <w:p w14:paraId="75DB7783" w14:textId="77777777" w:rsidR="00885ED0" w:rsidRDefault="00885ED0" w:rsidP="00885ED0">
      <w:pPr>
        <w:jc w:val="center"/>
        <w:rPr>
          <w:rFonts w:cs="Tahoma"/>
          <w:b/>
          <w:bCs/>
          <w:sz w:val="28"/>
          <w:szCs w:val="28"/>
        </w:rPr>
      </w:pPr>
    </w:p>
    <w:p w14:paraId="7F84E57B" w14:textId="77777777" w:rsidR="00BC68A0" w:rsidRDefault="00BC68A0">
      <w:pPr>
        <w:widowControl/>
        <w:suppressAutoHyphens w:val="0"/>
        <w:jc w:val="both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br w:type="page"/>
      </w:r>
    </w:p>
    <w:p w14:paraId="28649A7E" w14:textId="4C800394" w:rsidR="00761340" w:rsidRPr="00A5111D" w:rsidRDefault="00A5111D" w:rsidP="00A5111D">
      <w:pPr>
        <w:pStyle w:val="Nagwek1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bookmarkStart w:id="0" w:name="_Toc482003125"/>
      <w:bookmarkStart w:id="1" w:name="_Toc104448281"/>
      <w:r w:rsidRPr="00A5111D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911FCE" w:rsidRPr="00A5111D">
        <w:rPr>
          <w:rFonts w:ascii="Times New Roman" w:hAnsi="Times New Roman" w:cs="Times New Roman"/>
          <w:sz w:val="24"/>
          <w:szCs w:val="24"/>
        </w:rPr>
        <w:t>ANALIZA SYTUACJI EKONOMICZNO – FINANSOWEJ SAMODZIELNEGO PUBLICZNEGO Z</w:t>
      </w:r>
      <w:r w:rsidR="005B548B">
        <w:rPr>
          <w:rFonts w:ascii="Times New Roman" w:hAnsi="Times New Roman" w:cs="Times New Roman"/>
          <w:sz w:val="24"/>
          <w:szCs w:val="24"/>
        </w:rPr>
        <w:t>AKŁADU OPIEKI ZDROWOTNEJ ZA 20</w:t>
      </w:r>
      <w:r w:rsidR="00AC761B">
        <w:rPr>
          <w:rFonts w:ascii="Times New Roman" w:hAnsi="Times New Roman" w:cs="Times New Roman"/>
          <w:sz w:val="24"/>
          <w:szCs w:val="24"/>
        </w:rPr>
        <w:t>2</w:t>
      </w:r>
      <w:r w:rsidR="006819D5">
        <w:rPr>
          <w:rFonts w:ascii="Times New Roman" w:hAnsi="Times New Roman" w:cs="Times New Roman"/>
          <w:sz w:val="24"/>
          <w:szCs w:val="24"/>
        </w:rPr>
        <w:t>2</w:t>
      </w:r>
      <w:r w:rsidR="00911FCE" w:rsidRPr="00A5111D">
        <w:rPr>
          <w:rFonts w:ascii="Times New Roman" w:hAnsi="Times New Roman" w:cs="Times New Roman"/>
          <w:sz w:val="24"/>
          <w:szCs w:val="24"/>
        </w:rPr>
        <w:t xml:space="preserve"> ROK</w:t>
      </w:r>
      <w:bookmarkEnd w:id="0"/>
      <w:bookmarkEnd w:id="1"/>
    </w:p>
    <w:p w14:paraId="3687A286" w14:textId="77777777" w:rsidR="00380C20" w:rsidRDefault="00380C20" w:rsidP="00A5111D">
      <w:pPr>
        <w:jc w:val="both"/>
        <w:rPr>
          <w:rFonts w:cs="Arial"/>
          <w:bCs/>
          <w:i/>
          <w:color w:val="548DD4" w:themeColor="text2" w:themeTint="99"/>
          <w:szCs w:val="24"/>
        </w:rPr>
      </w:pPr>
    </w:p>
    <w:p w14:paraId="21477C54" w14:textId="229CE080" w:rsidR="0042691A" w:rsidRDefault="0070032B" w:rsidP="00182D24">
      <w:pPr>
        <w:spacing w:after="120" w:line="360" w:lineRule="auto"/>
        <w:ind w:firstLine="708"/>
        <w:jc w:val="both"/>
        <w:textAlignment w:val="baseline"/>
        <w:rPr>
          <w:szCs w:val="24"/>
        </w:rPr>
      </w:pPr>
      <w:r w:rsidRPr="006E59F6">
        <w:rPr>
          <w:szCs w:val="24"/>
        </w:rPr>
        <w:t>Rok 202</w:t>
      </w:r>
      <w:r w:rsidR="00344D30">
        <w:rPr>
          <w:szCs w:val="24"/>
        </w:rPr>
        <w:t>3</w:t>
      </w:r>
      <w:r w:rsidRPr="006E59F6">
        <w:rPr>
          <w:szCs w:val="24"/>
        </w:rPr>
        <w:t xml:space="preserve"> zakończył się wynikiem finansowym  dodatnim w wysokości 5</w:t>
      </w:r>
      <w:r w:rsidR="00344D30">
        <w:rPr>
          <w:szCs w:val="24"/>
        </w:rPr>
        <w:t>23 805,10</w:t>
      </w:r>
      <w:r w:rsidRPr="006E59F6">
        <w:rPr>
          <w:szCs w:val="24"/>
        </w:rPr>
        <w:t xml:space="preserve"> zł. Jest to </w:t>
      </w:r>
      <w:r w:rsidR="00344D30">
        <w:rPr>
          <w:szCs w:val="24"/>
        </w:rPr>
        <w:t>drugi</w:t>
      </w:r>
      <w:r w:rsidRPr="006E59F6">
        <w:rPr>
          <w:szCs w:val="24"/>
        </w:rPr>
        <w:t xml:space="preserve"> </w:t>
      </w:r>
      <w:r w:rsidR="00181112">
        <w:rPr>
          <w:szCs w:val="24"/>
        </w:rPr>
        <w:t>rok</w:t>
      </w:r>
      <w:r w:rsidR="00E61DCE">
        <w:rPr>
          <w:szCs w:val="24"/>
        </w:rPr>
        <w:t>,</w:t>
      </w:r>
      <w:r w:rsidR="00181112">
        <w:rPr>
          <w:szCs w:val="24"/>
        </w:rPr>
        <w:t xml:space="preserve"> w którym Zakład osiągnął  zysk </w:t>
      </w:r>
      <w:r w:rsidRPr="006E59F6">
        <w:rPr>
          <w:szCs w:val="24"/>
        </w:rPr>
        <w:t>po pandemii Covid 19</w:t>
      </w:r>
      <w:r w:rsidR="00181112">
        <w:rPr>
          <w:szCs w:val="24"/>
        </w:rPr>
        <w:t>.</w:t>
      </w:r>
      <w:r w:rsidRPr="006E59F6">
        <w:rPr>
          <w:szCs w:val="24"/>
        </w:rPr>
        <w:t xml:space="preserve">  </w:t>
      </w:r>
      <w:r w:rsidR="00181112">
        <w:rPr>
          <w:szCs w:val="24"/>
        </w:rPr>
        <w:t>Wynik z</w:t>
      </w:r>
      <w:r w:rsidRPr="006E59F6">
        <w:rPr>
          <w:szCs w:val="24"/>
        </w:rPr>
        <w:t>ostanie przeznaczony na pokrycie straty z lat ubiegłych,</w:t>
      </w:r>
      <w:r w:rsidR="00181112">
        <w:rPr>
          <w:szCs w:val="24"/>
        </w:rPr>
        <w:t xml:space="preserve"> </w:t>
      </w:r>
      <w:r w:rsidR="00E61DCE">
        <w:rPr>
          <w:szCs w:val="24"/>
        </w:rPr>
        <w:t>w wysokości</w:t>
      </w:r>
      <w:r w:rsidRPr="006E59F6">
        <w:rPr>
          <w:szCs w:val="24"/>
        </w:rPr>
        <w:t xml:space="preserve"> </w:t>
      </w:r>
      <w:r w:rsidRPr="006E59F6">
        <w:rPr>
          <w:rFonts w:eastAsia="Times New Roman"/>
          <w:szCs w:val="24"/>
          <w:lang w:eastAsia="pl-PL"/>
        </w:rPr>
        <w:t xml:space="preserve"> 487 317,60 zł</w:t>
      </w:r>
      <w:r w:rsidR="00181112">
        <w:rPr>
          <w:szCs w:val="24"/>
        </w:rPr>
        <w:t>, a p</w:t>
      </w:r>
      <w:r w:rsidR="00344D30">
        <w:rPr>
          <w:szCs w:val="24"/>
        </w:rPr>
        <w:t>ozostała kwota</w:t>
      </w:r>
      <w:r w:rsidR="00F025AB">
        <w:rPr>
          <w:szCs w:val="24"/>
        </w:rPr>
        <w:t xml:space="preserve"> 36 487,50 zł</w:t>
      </w:r>
      <w:r w:rsidR="00344D30">
        <w:rPr>
          <w:szCs w:val="24"/>
        </w:rPr>
        <w:t xml:space="preserve"> zostanie przeznaczona na fundusz zapasowy Jednostki.</w:t>
      </w:r>
      <w:r w:rsidRPr="006E59F6">
        <w:rPr>
          <w:szCs w:val="24"/>
        </w:rPr>
        <w:t xml:space="preserve"> W 202</w:t>
      </w:r>
      <w:r w:rsidR="006F3588">
        <w:rPr>
          <w:szCs w:val="24"/>
        </w:rPr>
        <w:t>3</w:t>
      </w:r>
      <w:r w:rsidRPr="006E59F6">
        <w:rPr>
          <w:szCs w:val="24"/>
        </w:rPr>
        <w:t xml:space="preserve"> roku część wypracowanych </w:t>
      </w:r>
      <w:proofErr w:type="spellStart"/>
      <w:r w:rsidRPr="006E59F6">
        <w:rPr>
          <w:szCs w:val="24"/>
        </w:rPr>
        <w:t>nadwykonań</w:t>
      </w:r>
      <w:proofErr w:type="spellEnd"/>
      <w:r w:rsidRPr="006E59F6">
        <w:rPr>
          <w:szCs w:val="24"/>
        </w:rPr>
        <w:t xml:space="preserve"> o wartości </w:t>
      </w:r>
      <w:r w:rsidR="006F3588" w:rsidRPr="0042691A">
        <w:rPr>
          <w:szCs w:val="24"/>
        </w:rPr>
        <w:t>262</w:t>
      </w:r>
      <w:r w:rsidR="007F3571" w:rsidRPr="0042691A">
        <w:rPr>
          <w:szCs w:val="24"/>
        </w:rPr>
        <w:t xml:space="preserve"> </w:t>
      </w:r>
      <w:r w:rsidR="006F3588" w:rsidRPr="0042691A">
        <w:rPr>
          <w:szCs w:val="24"/>
        </w:rPr>
        <w:t>957,05</w:t>
      </w:r>
      <w:r w:rsidRPr="006E59F6">
        <w:rPr>
          <w:szCs w:val="24"/>
        </w:rPr>
        <w:t xml:space="preserve"> zł Śląski Oddział  NFZ zaliczył na zwrot zaliczki 1/12 kontraktu</w:t>
      </w:r>
      <w:r w:rsidR="00E61DCE">
        <w:rPr>
          <w:szCs w:val="24"/>
        </w:rPr>
        <w:t>,</w:t>
      </w:r>
      <w:r w:rsidRPr="006E59F6">
        <w:rPr>
          <w:szCs w:val="24"/>
        </w:rPr>
        <w:t xml:space="preserve"> jaką pobrał Zakład w roku 2020 w okresie zaostrzającej się pandemii i niemożności wykonywania świadczeń zdrowotnych na normalnym poziomie. </w:t>
      </w:r>
      <w:r w:rsidR="0042691A">
        <w:rPr>
          <w:szCs w:val="24"/>
        </w:rPr>
        <w:t>Tym samym całość zaliczki została spłacona.</w:t>
      </w:r>
    </w:p>
    <w:p w14:paraId="4D7401BE" w14:textId="0013AF74" w:rsidR="00182D24" w:rsidRDefault="00181112" w:rsidP="00182D24">
      <w:pPr>
        <w:spacing w:after="120" w:line="360" w:lineRule="auto"/>
        <w:ind w:firstLine="708"/>
        <w:jc w:val="both"/>
        <w:textAlignment w:val="baseline"/>
        <w:rPr>
          <w:color w:val="FF0000"/>
        </w:rPr>
      </w:pPr>
      <w:r>
        <w:rPr>
          <w:szCs w:val="24"/>
        </w:rPr>
        <w:t xml:space="preserve">W </w:t>
      </w:r>
      <w:r w:rsidR="0070032B" w:rsidRPr="006E59F6">
        <w:rPr>
          <w:szCs w:val="24"/>
        </w:rPr>
        <w:t>202</w:t>
      </w:r>
      <w:r w:rsidR="006F3588">
        <w:rPr>
          <w:szCs w:val="24"/>
        </w:rPr>
        <w:t>3</w:t>
      </w:r>
      <w:r>
        <w:rPr>
          <w:szCs w:val="24"/>
        </w:rPr>
        <w:t xml:space="preserve"> roku</w:t>
      </w:r>
      <w:r w:rsidR="0070032B" w:rsidRPr="006E59F6">
        <w:rPr>
          <w:szCs w:val="24"/>
        </w:rPr>
        <w:t xml:space="preserve">  </w:t>
      </w:r>
      <w:r>
        <w:rPr>
          <w:szCs w:val="24"/>
        </w:rPr>
        <w:t xml:space="preserve">Zakład kontynuował </w:t>
      </w:r>
      <w:r w:rsidR="0070032B" w:rsidRPr="006E59F6">
        <w:rPr>
          <w:szCs w:val="24"/>
        </w:rPr>
        <w:t>realiz</w:t>
      </w:r>
      <w:r>
        <w:rPr>
          <w:szCs w:val="24"/>
        </w:rPr>
        <w:t>ację</w:t>
      </w:r>
      <w:r w:rsidR="0070032B" w:rsidRPr="006E59F6">
        <w:rPr>
          <w:szCs w:val="24"/>
        </w:rPr>
        <w:t xml:space="preserve"> program</w:t>
      </w:r>
      <w:r>
        <w:rPr>
          <w:szCs w:val="24"/>
        </w:rPr>
        <w:t>u</w:t>
      </w:r>
      <w:r w:rsidR="0070032B" w:rsidRPr="006E59F6">
        <w:rPr>
          <w:szCs w:val="24"/>
        </w:rPr>
        <w:t xml:space="preserve"> naprawcz</w:t>
      </w:r>
      <w:r>
        <w:rPr>
          <w:szCs w:val="24"/>
        </w:rPr>
        <w:t>ego</w:t>
      </w:r>
      <w:r w:rsidR="0070032B" w:rsidRPr="006E59F6">
        <w:rPr>
          <w:szCs w:val="24"/>
        </w:rPr>
        <w:t>, wprowadzon</w:t>
      </w:r>
      <w:r>
        <w:rPr>
          <w:szCs w:val="24"/>
        </w:rPr>
        <w:t>ego</w:t>
      </w:r>
      <w:r w:rsidR="0070032B" w:rsidRPr="006E59F6">
        <w:rPr>
          <w:szCs w:val="24"/>
        </w:rPr>
        <w:t xml:space="preserve"> po zakończeniu  roku 2020 stratą na poziomie 1 101 056,73 zł. </w:t>
      </w:r>
      <w:r w:rsidR="0070032B" w:rsidRPr="006E59F6">
        <w:rPr>
          <w:rFonts w:eastAsia="SimSun" w:cs="Mangal"/>
          <w:kern w:val="2"/>
          <w:szCs w:val="24"/>
          <w:lang w:eastAsia="zh-CN" w:bidi="hi-IN"/>
        </w:rPr>
        <w:t>Działania naprawcze w formie zadań jakie zostały zrealizowane w roku 202</w:t>
      </w:r>
      <w:r w:rsidR="006F3588">
        <w:rPr>
          <w:rFonts w:eastAsia="SimSun" w:cs="Mangal"/>
          <w:kern w:val="2"/>
          <w:szCs w:val="24"/>
          <w:lang w:eastAsia="zh-CN" w:bidi="hi-IN"/>
        </w:rPr>
        <w:t>3</w:t>
      </w:r>
      <w:r w:rsidR="0070032B" w:rsidRPr="006E59F6">
        <w:rPr>
          <w:rFonts w:eastAsia="SimSun" w:cs="Mangal"/>
          <w:kern w:val="2"/>
          <w:szCs w:val="24"/>
          <w:lang w:eastAsia="zh-CN" w:bidi="hi-IN"/>
        </w:rPr>
        <w:t xml:space="preserve"> zakładały optymalne wyjście ze złej sytuacji finansowej Zakładu polegające na uzyskaniu dodatkowych przychodów, miedzy innymi: z </w:t>
      </w:r>
      <w:r w:rsidR="0070032B" w:rsidRPr="006E59F6">
        <w:rPr>
          <w:szCs w:val="24"/>
        </w:rPr>
        <w:t>finansowania „</w:t>
      </w:r>
      <w:proofErr w:type="spellStart"/>
      <w:r w:rsidR="0070032B" w:rsidRPr="006E59F6">
        <w:rPr>
          <w:szCs w:val="24"/>
        </w:rPr>
        <w:t>nadwykonań</w:t>
      </w:r>
      <w:proofErr w:type="spellEnd"/>
      <w:r w:rsidR="0070032B" w:rsidRPr="006E59F6">
        <w:rPr>
          <w:szCs w:val="24"/>
        </w:rPr>
        <w:t>” świadczeń zdrowotnych dziecięcych z</w:t>
      </w:r>
      <w:r w:rsidR="005316DB">
        <w:rPr>
          <w:szCs w:val="24"/>
        </w:rPr>
        <w:t xml:space="preserve"> </w:t>
      </w:r>
      <w:r w:rsidR="0070032B" w:rsidRPr="006E59F6">
        <w:rPr>
          <w:szCs w:val="24"/>
        </w:rPr>
        <w:t>Funduszu Medycznego zgodnie z Ustawą z dnia 7 października 2020 r</w:t>
      </w:r>
      <w:r w:rsidR="0042691A">
        <w:rPr>
          <w:szCs w:val="24"/>
        </w:rPr>
        <w:t xml:space="preserve">. oraz </w:t>
      </w:r>
      <w:r w:rsidR="009657EF">
        <w:rPr>
          <w:szCs w:val="24"/>
        </w:rPr>
        <w:t xml:space="preserve">ze zwiększenia </w:t>
      </w:r>
      <w:r w:rsidR="009657EF">
        <w:t>przychodów w fizjoterapii ambulatoryjnej</w:t>
      </w:r>
      <w:r w:rsidR="009657EF">
        <w:rPr>
          <w:szCs w:val="24"/>
        </w:rPr>
        <w:t xml:space="preserve"> </w:t>
      </w:r>
      <w:r w:rsidR="0042691A">
        <w:rPr>
          <w:szCs w:val="24"/>
        </w:rPr>
        <w:t>poprzez</w:t>
      </w:r>
      <w:r w:rsidR="007D591D">
        <w:t xml:space="preserve"> zatrudnienie 3 fizjoterapeutów. Program zakładał też likwidację poradni pulmonologicznej, co ograniczyło koszty Zakładu. Comiesięczna analiza kontraktu w poszczególnych zakontraktowanych zakresach oraz poniesionych kosztów działalności  dokonywane były w celu zrównoważenia przychodów z kosztami. W związku z reformą psychiatrii dziecięcej i podziałem całej struktury udzielania świadczeń zdrowotnych psychiatrycznych na poziomy referencyjn</w:t>
      </w:r>
      <w:r w:rsidR="009657EF">
        <w:t>e</w:t>
      </w:r>
      <w:r w:rsidR="00364431">
        <w:t xml:space="preserve"> </w:t>
      </w:r>
      <w:r w:rsidR="007D591D">
        <w:t xml:space="preserve"> Zakład utworzył I poziom</w:t>
      </w:r>
      <w:r w:rsidR="00D11593">
        <w:t>,</w:t>
      </w:r>
      <w:r w:rsidR="00364431">
        <w:t xml:space="preserve"> </w:t>
      </w:r>
      <w:r w:rsidR="007D591D">
        <w:t xml:space="preserve"> w ramach którego została uruchomiona Poradnia Psychologiczna dla dzieci i młodzieży. Działania naprawcze jakie zostały wdrożone w 2023 roku spowodowały wzrost </w:t>
      </w:r>
      <w:r w:rsidR="0042691A">
        <w:t>przychodów</w:t>
      </w:r>
      <w:r w:rsidR="007D591D">
        <w:t xml:space="preserve"> finansowych na poziomie 3 066 900,55 zł</w:t>
      </w:r>
      <w:r w:rsidR="00182D24">
        <w:rPr>
          <w:color w:val="FF0000"/>
        </w:rPr>
        <w:t>.</w:t>
      </w:r>
    </w:p>
    <w:p w14:paraId="3EC73A4A" w14:textId="5503B5E4" w:rsidR="00182D24" w:rsidRDefault="00182D24" w:rsidP="00182D24">
      <w:pPr>
        <w:spacing w:after="120" w:line="360" w:lineRule="auto"/>
        <w:ind w:firstLine="708"/>
        <w:jc w:val="both"/>
        <w:textAlignment w:val="baseline"/>
      </w:pPr>
      <w:r>
        <w:t>P</w:t>
      </w:r>
      <w:r w:rsidR="007D591D">
        <w:t xml:space="preserve">rzychody ogółem w roku 2023 zamknęły się kwotą 15 946 015,29 zł, koszty kwotą 15 422 210,19 </w:t>
      </w:r>
      <w:r w:rsidR="007D591D" w:rsidRPr="005A65BE">
        <w:t>zł.</w:t>
      </w:r>
      <w:r w:rsidR="007D591D">
        <w:t xml:space="preserve"> Rok 2023 zakończył się zyskiem w wysokości 523 805,10 zł, wynik finansowy powiększony o wartość amortyzacji wyniósł 1 146 321,92zł. Na uzyskanie dodatniego wyniku finansowego miało wpływ kilka czynników: zwiększenie finansowania za punkt świadczeń zdrowotnych, cokwartalne rozliczanie się z NFZ z </w:t>
      </w:r>
      <w:proofErr w:type="spellStart"/>
      <w:r w:rsidR="007D591D">
        <w:t>nadwykonań</w:t>
      </w:r>
      <w:proofErr w:type="spellEnd"/>
      <w:r w:rsidR="007D591D">
        <w:t xml:space="preserve"> świadczeń zdrowotnych, spłata 1/12 zaliczki kontraktu z NFZ z roku 2020  oraz ograniczenie kosztów p</w:t>
      </w:r>
      <w:r w:rsidR="0042691A">
        <w:t>oradni</w:t>
      </w:r>
      <w:r w:rsidR="007D591D">
        <w:t xml:space="preserve"> do niezbędnego minimum</w:t>
      </w:r>
      <w:r w:rsidR="0042691A">
        <w:t xml:space="preserve"> bez niekorzystnego skutku dla pacjentów.</w:t>
      </w:r>
      <w:r w:rsidR="007D591D">
        <w:t xml:space="preserve"> </w:t>
      </w:r>
      <w:r w:rsidR="007D591D" w:rsidRPr="005A65BE">
        <w:t>Przychody netto ze sprzedaży w stosunku do roku 2</w:t>
      </w:r>
      <w:r w:rsidR="007D591D">
        <w:t>022 zwiększyły się o kwotę 2 290 428,12</w:t>
      </w:r>
      <w:r w:rsidR="007D591D" w:rsidRPr="005A65BE">
        <w:t xml:space="preserve">zł. </w:t>
      </w:r>
    </w:p>
    <w:p w14:paraId="53177B75" w14:textId="4D909594" w:rsidR="007D591D" w:rsidRPr="00182D24" w:rsidRDefault="007D591D" w:rsidP="00182D24">
      <w:pPr>
        <w:spacing w:after="120" w:line="360" w:lineRule="auto"/>
        <w:ind w:firstLine="708"/>
        <w:jc w:val="both"/>
        <w:textAlignment w:val="baseline"/>
        <w:rPr>
          <w:color w:val="FF0000"/>
        </w:rPr>
      </w:pPr>
      <w:r w:rsidRPr="005A65BE">
        <w:t xml:space="preserve">Koszty </w:t>
      </w:r>
      <w:r>
        <w:t xml:space="preserve"> działalności </w:t>
      </w:r>
      <w:r w:rsidRPr="005A65BE">
        <w:t>opera</w:t>
      </w:r>
      <w:r>
        <w:t xml:space="preserve">cyjnej zwiększyły się o 2 895 731,32 </w:t>
      </w:r>
      <w:r w:rsidRPr="005A65BE">
        <w:t xml:space="preserve">zł. </w:t>
      </w:r>
      <w:r w:rsidRPr="00F67907">
        <w:t xml:space="preserve">Przyczyną </w:t>
      </w:r>
      <w:r>
        <w:t>ich</w:t>
      </w:r>
      <w:r w:rsidRPr="00F67907">
        <w:t xml:space="preserve"> wzrostu </w:t>
      </w:r>
      <w:r w:rsidRPr="00F67907">
        <w:lastRenderedPageBreak/>
        <w:t>są wyższe koszty usług obcych, ustawowy wzrost wynagrodzeń pracowników zatrudnionych na umowę o pracę i w ramach umów cywilnoprawnych w stosunku do roku 202</w:t>
      </w:r>
      <w:r>
        <w:t>2</w:t>
      </w:r>
      <w:r w:rsidRPr="00F67907">
        <w:t xml:space="preserve">. </w:t>
      </w:r>
    </w:p>
    <w:p w14:paraId="46E820A1" w14:textId="77777777" w:rsidR="007D591D" w:rsidRPr="00F67907" w:rsidRDefault="007D591D" w:rsidP="007D591D">
      <w:pPr>
        <w:spacing w:line="360" w:lineRule="auto"/>
        <w:ind w:firstLine="708"/>
        <w:jc w:val="both"/>
      </w:pPr>
      <w:r w:rsidRPr="00F67907">
        <w:t>Wzrost w pozycji usługi obce spowodowany jest przejściem lekarzy z umów o pracę na umowy kontraktowe oraz wzrostem kosztów badań diagnostycznych zlecanych przez poradnie specjalistyczne Zakładu podwykonawcom</w:t>
      </w:r>
      <w:r>
        <w:t>, którzy systematycznie podnoszą ceny</w:t>
      </w:r>
      <w:r w:rsidRPr="00F67907">
        <w:t xml:space="preserve">. W  pozycji tej znajdują się również koszty serwisowania i napraw sprzętu oraz aparatury medycznej. </w:t>
      </w:r>
      <w:r>
        <w:t>Cała baza diagnostyczna</w:t>
      </w:r>
      <w:r w:rsidRPr="00F67907">
        <w:t xml:space="preserve"> Wojewódzkiego Zakładu Opieki Zdrowotnej nad Matką, Dzieckiem i Młodzieżą w Częstochowie serwisowan</w:t>
      </w:r>
      <w:r>
        <w:t>a</w:t>
      </w:r>
      <w:r w:rsidRPr="00F67907">
        <w:t xml:space="preserve"> jest zgodnie z wymogami, z zachowaniem terminów, co potwierdzają coroczne audyty ISO</w:t>
      </w:r>
      <w:r>
        <w:t xml:space="preserve"> i kontrole.</w:t>
      </w:r>
      <w:r w:rsidRPr="00F67907">
        <w:t xml:space="preserve"> </w:t>
      </w:r>
    </w:p>
    <w:p w14:paraId="52389442" w14:textId="608E26ED" w:rsidR="007D591D" w:rsidRPr="005A65BE" w:rsidRDefault="007D591D" w:rsidP="007D591D">
      <w:pPr>
        <w:spacing w:line="360" w:lineRule="auto"/>
        <w:ind w:firstLine="708"/>
        <w:jc w:val="both"/>
      </w:pPr>
      <w:r w:rsidRPr="005A65BE">
        <w:t xml:space="preserve">Na osiągnięte w kwocie </w:t>
      </w:r>
      <w:r>
        <w:t>15 946 015,29 zł w roku 2023</w:t>
      </w:r>
      <w:r w:rsidRPr="005A65BE">
        <w:t xml:space="preserve"> przychody ogółem złożyły się</w:t>
      </w:r>
      <w:r>
        <w:t xml:space="preserve"> </w:t>
      </w:r>
      <w:r w:rsidRPr="005A65BE">
        <w:t>: przychody ze sprzedaży usług medycznych</w:t>
      </w:r>
      <w:r>
        <w:t xml:space="preserve"> w wysokości 14 672 045,70 zł, z czego 14 519 326,10zł przypada na usługi medyczne wykonane w ramach kontraktu z NFZ</w:t>
      </w:r>
      <w:r w:rsidRPr="005A65BE">
        <w:t xml:space="preserve">, </w:t>
      </w:r>
      <w:r>
        <w:t>120 272,81 zł</w:t>
      </w:r>
      <w:r w:rsidRPr="005A65BE">
        <w:t xml:space="preserve"> ze sprzedaży usług niemedycznych</w:t>
      </w:r>
      <w:r>
        <w:t>, 1 562 819,70 zł</w:t>
      </w:r>
      <w:r w:rsidRPr="005A65BE">
        <w:t xml:space="preserve"> pozostałe przychody operacyjne</w:t>
      </w:r>
      <w:r>
        <w:t>,</w:t>
      </w:r>
      <w:r w:rsidRPr="005624D6">
        <w:t xml:space="preserve"> </w:t>
      </w:r>
      <w:r>
        <w:t>2623,79</w:t>
      </w:r>
      <w:r w:rsidRPr="005A65BE">
        <w:t xml:space="preserve"> zł</w:t>
      </w:r>
      <w:r>
        <w:t xml:space="preserve"> przychody finansowe</w:t>
      </w:r>
      <w:r w:rsidRPr="005A65BE">
        <w:t xml:space="preserve">. Koszty ogółem zamknęły się kwotą </w:t>
      </w:r>
      <w:r>
        <w:t>15 422 210,19</w:t>
      </w:r>
      <w:r w:rsidRPr="005A65BE">
        <w:t xml:space="preserve">zł. Najwyższą pozycję w kosztach stanowią wynagrodzenia pracowników z pochodnymi – łącznie </w:t>
      </w:r>
      <w:r>
        <w:t>8 444 557,22</w:t>
      </w:r>
      <w:r w:rsidRPr="005A65BE">
        <w:t xml:space="preserve">zł. Na kolejnych miejscach znalazły się usługi obce </w:t>
      </w:r>
      <w:r>
        <w:t xml:space="preserve">4 506 100,08 </w:t>
      </w:r>
      <w:r w:rsidRPr="005A65BE">
        <w:t xml:space="preserve">zł, zużycie materiałów i energii </w:t>
      </w:r>
      <w:r>
        <w:t>805 133,08</w:t>
      </w:r>
      <w:r w:rsidRPr="005A65BE">
        <w:t xml:space="preserve">zł i amortyzacja </w:t>
      </w:r>
      <w:r>
        <w:t>622 516,82</w:t>
      </w:r>
      <w:r w:rsidRPr="005A65BE">
        <w:t>zł.</w:t>
      </w:r>
    </w:p>
    <w:p w14:paraId="2C4D6917" w14:textId="64AEE2D9" w:rsidR="006E59F6" w:rsidRPr="006E59F6" w:rsidRDefault="006E59F6" w:rsidP="006E59F6">
      <w:pPr>
        <w:spacing w:line="360" w:lineRule="auto"/>
        <w:ind w:firstLine="708"/>
        <w:jc w:val="both"/>
        <w:rPr>
          <w:rFonts w:cs="Arial"/>
          <w:bCs/>
          <w:szCs w:val="24"/>
        </w:rPr>
      </w:pPr>
      <w:r w:rsidRPr="006E59F6">
        <w:rPr>
          <w:rFonts w:cs="Arial"/>
          <w:bCs/>
          <w:szCs w:val="24"/>
        </w:rPr>
        <w:t>Wynik finansowy za rok 202</w:t>
      </w:r>
      <w:r w:rsidR="00344D30">
        <w:rPr>
          <w:rFonts w:cs="Arial"/>
          <w:bCs/>
          <w:szCs w:val="24"/>
        </w:rPr>
        <w:t>3</w:t>
      </w:r>
      <w:r>
        <w:rPr>
          <w:rFonts w:cs="Arial"/>
          <w:bCs/>
          <w:szCs w:val="24"/>
        </w:rPr>
        <w:t xml:space="preserve"> w wysokości </w:t>
      </w:r>
      <w:r w:rsidR="00344D30">
        <w:rPr>
          <w:rFonts w:cs="Arial"/>
          <w:bCs/>
          <w:szCs w:val="24"/>
        </w:rPr>
        <w:t>523 805,10</w:t>
      </w:r>
      <w:r>
        <w:rPr>
          <w:rFonts w:cs="Arial"/>
          <w:bCs/>
          <w:szCs w:val="24"/>
        </w:rPr>
        <w:t xml:space="preserve"> zł</w:t>
      </w:r>
      <w:r w:rsidRPr="006E59F6">
        <w:rPr>
          <w:rFonts w:cs="Arial"/>
          <w:bCs/>
          <w:szCs w:val="24"/>
        </w:rPr>
        <w:t xml:space="preserve"> ukształtował wskaźniki rentowności na wysokim poziomie. </w:t>
      </w:r>
    </w:p>
    <w:p w14:paraId="30C54F07" w14:textId="77777777" w:rsidR="006E59F6" w:rsidRPr="006E59F6" w:rsidRDefault="006E59F6" w:rsidP="006E59F6">
      <w:pPr>
        <w:spacing w:line="360" w:lineRule="auto"/>
        <w:jc w:val="both"/>
        <w:rPr>
          <w:rFonts w:cs="Arial"/>
          <w:bCs/>
          <w:szCs w:val="24"/>
        </w:rPr>
      </w:pPr>
      <w:r w:rsidRPr="006E59F6">
        <w:rPr>
          <w:rFonts w:cs="Arial"/>
          <w:bCs/>
          <w:szCs w:val="24"/>
        </w:rPr>
        <w:t xml:space="preserve"> Wyniosły one odpowiednio:</w:t>
      </w:r>
    </w:p>
    <w:p w14:paraId="1C7597D0" w14:textId="70DEEE21" w:rsidR="006E59F6" w:rsidRPr="006E59F6" w:rsidRDefault="006E59F6" w:rsidP="006E59F6">
      <w:pPr>
        <w:spacing w:line="360" w:lineRule="auto"/>
        <w:jc w:val="both"/>
        <w:rPr>
          <w:rFonts w:cs="Arial"/>
          <w:bCs/>
          <w:szCs w:val="24"/>
        </w:rPr>
      </w:pPr>
      <w:r w:rsidRPr="006E59F6">
        <w:rPr>
          <w:rFonts w:cs="Arial"/>
          <w:bCs/>
          <w:szCs w:val="24"/>
        </w:rPr>
        <w:t xml:space="preserve">- wskaźnik zyskowności netto </w:t>
      </w:r>
      <w:r w:rsidR="00344D30">
        <w:rPr>
          <w:rFonts w:cs="Arial"/>
          <w:bCs/>
          <w:szCs w:val="24"/>
        </w:rPr>
        <w:t xml:space="preserve">3,20 </w:t>
      </w:r>
      <w:r w:rsidRPr="006E59F6">
        <w:rPr>
          <w:rFonts w:cs="Arial"/>
          <w:bCs/>
          <w:szCs w:val="24"/>
        </w:rPr>
        <w:t>%</w:t>
      </w:r>
    </w:p>
    <w:p w14:paraId="664DB8FD" w14:textId="58DF8DF9" w:rsidR="006E59F6" w:rsidRPr="006E59F6" w:rsidRDefault="006E59F6" w:rsidP="006E59F6">
      <w:pPr>
        <w:spacing w:line="360" w:lineRule="auto"/>
        <w:jc w:val="both"/>
        <w:rPr>
          <w:rFonts w:cs="Arial"/>
          <w:bCs/>
          <w:szCs w:val="24"/>
        </w:rPr>
      </w:pPr>
      <w:r w:rsidRPr="006E59F6">
        <w:rPr>
          <w:rFonts w:cs="Arial"/>
          <w:bCs/>
          <w:szCs w:val="24"/>
        </w:rPr>
        <w:t xml:space="preserve">- wskaźnik zyskowności działalności operacyjnej </w:t>
      </w:r>
      <w:r w:rsidR="00344D30">
        <w:rPr>
          <w:rFonts w:cs="Arial"/>
          <w:bCs/>
          <w:szCs w:val="24"/>
        </w:rPr>
        <w:t>3,</w:t>
      </w:r>
      <w:r w:rsidR="00F025AB">
        <w:rPr>
          <w:rFonts w:cs="Arial"/>
          <w:bCs/>
          <w:szCs w:val="24"/>
        </w:rPr>
        <w:t>20</w:t>
      </w:r>
      <w:r w:rsidR="00344D30">
        <w:rPr>
          <w:rFonts w:cs="Arial"/>
          <w:bCs/>
          <w:szCs w:val="24"/>
        </w:rPr>
        <w:t xml:space="preserve"> </w:t>
      </w:r>
      <w:r w:rsidRPr="006E59F6">
        <w:rPr>
          <w:rFonts w:cs="Arial"/>
          <w:bCs/>
          <w:szCs w:val="24"/>
        </w:rPr>
        <w:t>%</w:t>
      </w:r>
    </w:p>
    <w:p w14:paraId="4EBEA51D" w14:textId="0AEE6939" w:rsidR="006E59F6" w:rsidRPr="006E59F6" w:rsidRDefault="006E59F6" w:rsidP="006E59F6">
      <w:pPr>
        <w:spacing w:line="360" w:lineRule="auto"/>
        <w:jc w:val="both"/>
        <w:rPr>
          <w:rFonts w:cs="Arial"/>
          <w:bCs/>
          <w:szCs w:val="24"/>
        </w:rPr>
      </w:pPr>
      <w:r w:rsidRPr="006E59F6">
        <w:rPr>
          <w:rFonts w:cs="Arial"/>
          <w:bCs/>
          <w:szCs w:val="24"/>
        </w:rPr>
        <w:t>- wskaźnik zyskowności aktywów</w:t>
      </w:r>
      <w:r w:rsidR="00344D30">
        <w:rPr>
          <w:rFonts w:cs="Arial"/>
          <w:bCs/>
          <w:szCs w:val="24"/>
        </w:rPr>
        <w:t xml:space="preserve"> 9,91</w:t>
      </w:r>
      <w:r w:rsidRPr="006E59F6">
        <w:rPr>
          <w:rFonts w:cs="Arial"/>
          <w:bCs/>
          <w:szCs w:val="24"/>
        </w:rPr>
        <w:t>%</w:t>
      </w:r>
    </w:p>
    <w:p w14:paraId="02D13643" w14:textId="77777777" w:rsidR="006E59F6" w:rsidRPr="006E59F6" w:rsidRDefault="006E59F6" w:rsidP="006E59F6">
      <w:pPr>
        <w:spacing w:line="360" w:lineRule="auto"/>
        <w:jc w:val="both"/>
        <w:rPr>
          <w:rFonts w:cs="Arial"/>
          <w:bCs/>
          <w:szCs w:val="24"/>
        </w:rPr>
      </w:pPr>
      <w:r w:rsidRPr="006E59F6">
        <w:rPr>
          <w:rFonts w:cs="Arial"/>
          <w:bCs/>
          <w:szCs w:val="24"/>
        </w:rPr>
        <w:t>Wskaźniki płynności finansowej ukształtowały się na poziomie bezpiecznym</w:t>
      </w:r>
    </w:p>
    <w:p w14:paraId="2F1B4AF5" w14:textId="45255505" w:rsidR="006E59F6" w:rsidRPr="006E59F6" w:rsidRDefault="006E59F6" w:rsidP="006E59F6">
      <w:pPr>
        <w:spacing w:line="360" w:lineRule="auto"/>
        <w:jc w:val="both"/>
        <w:rPr>
          <w:rFonts w:cs="Arial"/>
          <w:bCs/>
          <w:szCs w:val="24"/>
        </w:rPr>
      </w:pPr>
      <w:r w:rsidRPr="006E59F6">
        <w:rPr>
          <w:rFonts w:cs="Arial"/>
          <w:bCs/>
          <w:szCs w:val="24"/>
        </w:rPr>
        <w:t xml:space="preserve">- wskaźnik płynności bieżącej </w:t>
      </w:r>
      <w:r w:rsidR="00344D30">
        <w:rPr>
          <w:rFonts w:cs="Arial"/>
          <w:bCs/>
          <w:szCs w:val="24"/>
        </w:rPr>
        <w:t xml:space="preserve"> 1,14</w:t>
      </w:r>
    </w:p>
    <w:p w14:paraId="45176FB3" w14:textId="7DDF89F3" w:rsidR="006E59F6" w:rsidRPr="006E59F6" w:rsidRDefault="006E59F6" w:rsidP="006E59F6">
      <w:pPr>
        <w:spacing w:line="360" w:lineRule="auto"/>
        <w:jc w:val="both"/>
        <w:rPr>
          <w:rFonts w:cs="Arial"/>
          <w:bCs/>
          <w:szCs w:val="24"/>
        </w:rPr>
      </w:pPr>
      <w:r w:rsidRPr="006E59F6">
        <w:rPr>
          <w:rFonts w:cs="Arial"/>
          <w:bCs/>
          <w:szCs w:val="24"/>
        </w:rPr>
        <w:t xml:space="preserve">- wskaźnik płynności szybkiej </w:t>
      </w:r>
      <w:r w:rsidR="00344D30">
        <w:rPr>
          <w:rFonts w:cs="Arial"/>
          <w:bCs/>
          <w:szCs w:val="24"/>
        </w:rPr>
        <w:t xml:space="preserve"> 1,14</w:t>
      </w:r>
    </w:p>
    <w:p w14:paraId="2F24F694" w14:textId="56F8E719" w:rsidR="006E59F6" w:rsidRPr="006E59F6" w:rsidRDefault="006E59F6" w:rsidP="006E59F6">
      <w:pPr>
        <w:spacing w:line="360" w:lineRule="auto"/>
        <w:jc w:val="both"/>
        <w:rPr>
          <w:rFonts w:cs="Arial"/>
          <w:bCs/>
          <w:szCs w:val="24"/>
        </w:rPr>
      </w:pPr>
      <w:r w:rsidRPr="006E59F6">
        <w:rPr>
          <w:rFonts w:cs="Arial"/>
          <w:bCs/>
          <w:szCs w:val="24"/>
        </w:rPr>
        <w:t xml:space="preserve">Ich wartości </w:t>
      </w:r>
      <w:r w:rsidR="00344D30">
        <w:rPr>
          <w:rFonts w:cs="Arial"/>
          <w:bCs/>
          <w:szCs w:val="24"/>
        </w:rPr>
        <w:t>ukształtowały się na bardzo dobrym poziomie.</w:t>
      </w:r>
    </w:p>
    <w:p w14:paraId="3814495C" w14:textId="4E29CA9A" w:rsidR="006E59F6" w:rsidRPr="006E59F6" w:rsidRDefault="006E59F6" w:rsidP="006E59F6">
      <w:pPr>
        <w:spacing w:line="360" w:lineRule="auto"/>
        <w:jc w:val="both"/>
        <w:rPr>
          <w:rFonts w:cs="Arial"/>
          <w:bCs/>
          <w:szCs w:val="24"/>
        </w:rPr>
      </w:pPr>
      <w:r w:rsidRPr="006E59F6">
        <w:rPr>
          <w:rFonts w:cs="Arial"/>
          <w:bCs/>
          <w:szCs w:val="24"/>
        </w:rPr>
        <w:t>Wartości wskaźników efektywności za rok 202</w:t>
      </w:r>
      <w:r w:rsidR="00344D30">
        <w:rPr>
          <w:rFonts w:cs="Arial"/>
          <w:bCs/>
          <w:szCs w:val="24"/>
        </w:rPr>
        <w:t>3</w:t>
      </w:r>
      <w:r w:rsidRPr="006E59F6">
        <w:rPr>
          <w:rFonts w:cs="Arial"/>
          <w:bCs/>
          <w:szCs w:val="24"/>
        </w:rPr>
        <w:t xml:space="preserve">  są zadowalające i wyniosły </w:t>
      </w:r>
    </w:p>
    <w:p w14:paraId="7D4F0DBC" w14:textId="4ADC61A0" w:rsidR="006E59F6" w:rsidRPr="006E59F6" w:rsidRDefault="006E59F6" w:rsidP="006E59F6">
      <w:pPr>
        <w:spacing w:line="360" w:lineRule="auto"/>
        <w:jc w:val="both"/>
        <w:rPr>
          <w:rFonts w:cs="Arial"/>
          <w:bCs/>
          <w:szCs w:val="24"/>
        </w:rPr>
      </w:pPr>
      <w:r w:rsidRPr="006E59F6">
        <w:rPr>
          <w:rFonts w:cs="Arial"/>
          <w:bCs/>
          <w:szCs w:val="24"/>
        </w:rPr>
        <w:t>- wskaźnik rotacji należności – 3</w:t>
      </w:r>
      <w:r w:rsidR="00344D30">
        <w:rPr>
          <w:rFonts w:cs="Arial"/>
          <w:bCs/>
          <w:szCs w:val="24"/>
        </w:rPr>
        <w:t>2,61</w:t>
      </w:r>
      <w:r w:rsidRPr="006E59F6">
        <w:rPr>
          <w:rFonts w:cs="Arial"/>
          <w:bCs/>
          <w:szCs w:val="24"/>
        </w:rPr>
        <w:t>dni</w:t>
      </w:r>
    </w:p>
    <w:p w14:paraId="5CCED1CB" w14:textId="17B14813" w:rsidR="006E59F6" w:rsidRPr="006E59F6" w:rsidRDefault="006E59F6" w:rsidP="006E59F6">
      <w:pPr>
        <w:spacing w:line="360" w:lineRule="auto"/>
        <w:jc w:val="both"/>
        <w:rPr>
          <w:rFonts w:cs="Arial"/>
          <w:bCs/>
          <w:szCs w:val="24"/>
        </w:rPr>
      </w:pPr>
      <w:r w:rsidRPr="006E59F6">
        <w:rPr>
          <w:rFonts w:cs="Arial"/>
          <w:bCs/>
          <w:szCs w:val="24"/>
        </w:rPr>
        <w:t>- wskaźnik rotacji zobowiązań – 1</w:t>
      </w:r>
      <w:r w:rsidR="00344D30">
        <w:rPr>
          <w:rFonts w:cs="Arial"/>
          <w:bCs/>
          <w:szCs w:val="24"/>
        </w:rPr>
        <w:t>5,96</w:t>
      </w:r>
      <w:r w:rsidRPr="006E59F6">
        <w:rPr>
          <w:rFonts w:cs="Arial"/>
          <w:bCs/>
          <w:szCs w:val="24"/>
        </w:rPr>
        <w:t xml:space="preserve"> dni</w:t>
      </w:r>
    </w:p>
    <w:p w14:paraId="05533330" w14:textId="77777777" w:rsidR="006E59F6" w:rsidRPr="006E59F6" w:rsidRDefault="006E59F6" w:rsidP="006E59F6">
      <w:pPr>
        <w:spacing w:line="360" w:lineRule="auto"/>
        <w:jc w:val="both"/>
        <w:rPr>
          <w:rFonts w:cs="Arial"/>
          <w:bCs/>
          <w:szCs w:val="24"/>
        </w:rPr>
      </w:pPr>
      <w:r w:rsidRPr="006E59F6">
        <w:rPr>
          <w:rFonts w:cs="Arial"/>
          <w:bCs/>
          <w:szCs w:val="24"/>
        </w:rPr>
        <w:t>Zakład nie kredytuje swoich odbiorców i należności ściąga na bieżąco.</w:t>
      </w:r>
    </w:p>
    <w:p w14:paraId="63DF7521" w14:textId="0D6EE178" w:rsidR="006E59F6" w:rsidRPr="006E59F6" w:rsidRDefault="006E59F6" w:rsidP="006E59F6">
      <w:pPr>
        <w:spacing w:line="360" w:lineRule="auto"/>
        <w:jc w:val="both"/>
        <w:rPr>
          <w:rFonts w:cs="Arial"/>
          <w:bCs/>
          <w:szCs w:val="24"/>
        </w:rPr>
      </w:pPr>
      <w:r w:rsidRPr="006E59F6">
        <w:rPr>
          <w:rFonts w:cs="Arial"/>
          <w:bCs/>
          <w:szCs w:val="24"/>
        </w:rPr>
        <w:t>Wskaźnik zadłużenia aktywów, który przyjął wartość 4</w:t>
      </w:r>
      <w:r w:rsidR="00344D30">
        <w:rPr>
          <w:rFonts w:cs="Arial"/>
          <w:bCs/>
          <w:szCs w:val="24"/>
        </w:rPr>
        <w:t xml:space="preserve">1,99 </w:t>
      </w:r>
      <w:r w:rsidRPr="006E59F6">
        <w:rPr>
          <w:rFonts w:cs="Arial"/>
          <w:bCs/>
          <w:szCs w:val="24"/>
        </w:rPr>
        <w:t>% świadczy o zachowanej równowadze między kapitałem obcym a własnym. Wskaźnik wypłacalności wynosi 1,</w:t>
      </w:r>
      <w:r w:rsidR="00344D30">
        <w:rPr>
          <w:rFonts w:cs="Arial"/>
          <w:bCs/>
          <w:szCs w:val="24"/>
        </w:rPr>
        <w:t>33</w:t>
      </w:r>
      <w:r w:rsidRPr="006E59F6">
        <w:rPr>
          <w:rFonts w:cs="Arial"/>
          <w:bCs/>
          <w:szCs w:val="24"/>
        </w:rPr>
        <w:t xml:space="preserve">% i uległ </w:t>
      </w:r>
      <w:r w:rsidR="00344D30">
        <w:rPr>
          <w:rFonts w:cs="Arial"/>
          <w:bCs/>
          <w:szCs w:val="24"/>
        </w:rPr>
        <w:t xml:space="preserve">minimalnej </w:t>
      </w:r>
      <w:r w:rsidRPr="006E59F6">
        <w:rPr>
          <w:rFonts w:cs="Arial"/>
          <w:bCs/>
          <w:szCs w:val="24"/>
        </w:rPr>
        <w:t>poprawie w stosunku do roku 202</w:t>
      </w:r>
      <w:r w:rsidR="00344D30">
        <w:rPr>
          <w:rFonts w:cs="Arial"/>
          <w:bCs/>
          <w:szCs w:val="24"/>
        </w:rPr>
        <w:t>2</w:t>
      </w:r>
      <w:r w:rsidRPr="006E59F6">
        <w:rPr>
          <w:rFonts w:cs="Arial"/>
          <w:bCs/>
          <w:szCs w:val="24"/>
        </w:rPr>
        <w:t xml:space="preserve"> o 0,</w:t>
      </w:r>
      <w:r w:rsidR="00344D30">
        <w:rPr>
          <w:rFonts w:cs="Arial"/>
          <w:bCs/>
          <w:szCs w:val="24"/>
        </w:rPr>
        <w:t>25</w:t>
      </w:r>
      <w:r w:rsidRPr="006E59F6">
        <w:rPr>
          <w:rFonts w:cs="Arial"/>
          <w:bCs/>
          <w:szCs w:val="24"/>
        </w:rPr>
        <w:t xml:space="preserve"> punktu procentowego.</w:t>
      </w:r>
    </w:p>
    <w:p w14:paraId="0E9D51C7" w14:textId="40444DF3" w:rsidR="006E59F6" w:rsidRPr="00B52E1A" w:rsidRDefault="006E59F6" w:rsidP="006E59F6">
      <w:pPr>
        <w:spacing w:line="360" w:lineRule="auto"/>
        <w:jc w:val="both"/>
        <w:rPr>
          <w:rFonts w:cs="Arial"/>
          <w:bCs/>
          <w:i/>
          <w:szCs w:val="24"/>
        </w:rPr>
      </w:pPr>
      <w:r w:rsidRPr="006E59F6">
        <w:rPr>
          <w:rFonts w:cs="Arial"/>
          <w:bCs/>
          <w:szCs w:val="24"/>
        </w:rPr>
        <w:lastRenderedPageBreak/>
        <w:t>Łącznie ocena punktowa wskaźników za rok 202</w:t>
      </w:r>
      <w:r w:rsidR="00344D30">
        <w:rPr>
          <w:rFonts w:cs="Arial"/>
          <w:bCs/>
          <w:szCs w:val="24"/>
        </w:rPr>
        <w:t>3</w:t>
      </w:r>
      <w:r w:rsidRPr="006E59F6">
        <w:rPr>
          <w:rFonts w:cs="Arial"/>
          <w:bCs/>
          <w:szCs w:val="24"/>
        </w:rPr>
        <w:t xml:space="preserve"> wyniosła 5</w:t>
      </w:r>
      <w:r w:rsidR="00344D30">
        <w:rPr>
          <w:rFonts w:cs="Arial"/>
          <w:bCs/>
          <w:szCs w:val="24"/>
        </w:rPr>
        <w:t>8</w:t>
      </w:r>
      <w:r w:rsidRPr="006E59F6">
        <w:rPr>
          <w:rFonts w:cs="Arial"/>
          <w:bCs/>
          <w:szCs w:val="24"/>
        </w:rPr>
        <w:t xml:space="preserve"> pkt i jest wyższa o </w:t>
      </w:r>
      <w:r w:rsidR="00344D30">
        <w:rPr>
          <w:rFonts w:cs="Arial"/>
          <w:bCs/>
          <w:szCs w:val="24"/>
        </w:rPr>
        <w:t>8</w:t>
      </w:r>
      <w:r w:rsidRPr="006E59F6">
        <w:rPr>
          <w:rFonts w:cs="Arial"/>
          <w:bCs/>
          <w:szCs w:val="24"/>
        </w:rPr>
        <w:t xml:space="preserve"> pkt w</w:t>
      </w:r>
      <w:r w:rsidR="005316DB">
        <w:rPr>
          <w:rFonts w:cs="Arial"/>
          <w:bCs/>
          <w:szCs w:val="24"/>
        </w:rPr>
        <w:t> </w:t>
      </w:r>
      <w:r>
        <w:rPr>
          <w:rFonts w:cs="Arial"/>
          <w:bCs/>
          <w:szCs w:val="24"/>
        </w:rPr>
        <w:t>porównaniu z rokiem 202</w:t>
      </w:r>
      <w:r w:rsidR="00344D30">
        <w:rPr>
          <w:rFonts w:cs="Arial"/>
          <w:bCs/>
          <w:szCs w:val="24"/>
        </w:rPr>
        <w:t>2</w:t>
      </w:r>
      <w:r>
        <w:rPr>
          <w:rFonts w:cs="Arial"/>
          <w:bCs/>
          <w:szCs w:val="24"/>
        </w:rPr>
        <w:t xml:space="preserve">. Wpływ na ocenę łączną miały wyższe niemalże wszystkie wskaźniki, a głównie wskaźniki </w:t>
      </w:r>
      <w:r w:rsidR="00344D30">
        <w:rPr>
          <w:rFonts w:cs="Arial"/>
          <w:bCs/>
          <w:szCs w:val="24"/>
        </w:rPr>
        <w:t>płynności finansowej</w:t>
      </w:r>
      <w:r>
        <w:rPr>
          <w:rFonts w:cs="Arial"/>
          <w:bCs/>
          <w:szCs w:val="24"/>
        </w:rPr>
        <w:t>, które to zupełnie zmieniły wartość w tabelach punktowych.</w:t>
      </w:r>
    </w:p>
    <w:p w14:paraId="382D2B21" w14:textId="15572F50" w:rsidR="00B8480A" w:rsidRPr="006E59F6" w:rsidRDefault="006E59F6" w:rsidP="006E59F6">
      <w:pPr>
        <w:pStyle w:val="Akapitzlist"/>
        <w:jc w:val="both"/>
        <w:rPr>
          <w:rFonts w:cs="Arial"/>
          <w:bCs/>
          <w:i/>
          <w:color w:val="FF0000"/>
          <w:szCs w:val="24"/>
        </w:rPr>
      </w:pPr>
      <w:r w:rsidRPr="00783DCD">
        <w:rPr>
          <w:rFonts w:cs="Arial"/>
          <w:bCs/>
          <w:i/>
          <w:color w:val="FF0000"/>
          <w:szCs w:val="24"/>
        </w:rPr>
        <w:t xml:space="preserve"> </w:t>
      </w:r>
    </w:p>
    <w:p w14:paraId="1D73FEC5" w14:textId="77777777" w:rsidR="00B8480A" w:rsidRDefault="00B8480A" w:rsidP="006E086C">
      <w:pPr>
        <w:pStyle w:val="Akapitzlist"/>
        <w:jc w:val="both"/>
        <w:rPr>
          <w:rFonts w:cs="Arial"/>
          <w:bCs/>
          <w:color w:val="FF0000"/>
          <w:szCs w:val="24"/>
        </w:rPr>
      </w:pPr>
    </w:p>
    <w:p w14:paraId="21D525FB" w14:textId="77777777" w:rsidR="00680AD1" w:rsidRPr="00783DCD" w:rsidRDefault="00680AD1" w:rsidP="006E086C">
      <w:pPr>
        <w:pStyle w:val="Akapitzlist"/>
        <w:jc w:val="both"/>
        <w:rPr>
          <w:rFonts w:cs="Arial"/>
          <w:bCs/>
          <w:color w:val="FF0000"/>
          <w:szCs w:val="24"/>
        </w:rPr>
      </w:pPr>
    </w:p>
    <w:p w14:paraId="35622264" w14:textId="77777777" w:rsidR="003F45BD" w:rsidRPr="00586DEF" w:rsidRDefault="002E03E0" w:rsidP="00380862">
      <w:pPr>
        <w:pStyle w:val="Nagwek2"/>
        <w:numPr>
          <w:ilvl w:val="1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586DE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2" w:name="_Toc104448282"/>
      <w:r w:rsidR="003F45BD" w:rsidRPr="00586DEF">
        <w:rPr>
          <w:rFonts w:ascii="Times New Roman" w:hAnsi="Times New Roman" w:cs="Times New Roman"/>
          <w:color w:val="auto"/>
          <w:sz w:val="24"/>
          <w:szCs w:val="24"/>
        </w:rPr>
        <w:t>Analiza wskaźnikowa</w:t>
      </w:r>
      <w:r w:rsidR="00FB3C70" w:rsidRPr="00586DEF">
        <w:rPr>
          <w:rFonts w:ascii="Times New Roman" w:hAnsi="Times New Roman" w:cs="Times New Roman"/>
          <w:color w:val="auto"/>
          <w:sz w:val="24"/>
          <w:szCs w:val="24"/>
        </w:rPr>
        <w:t xml:space="preserve"> samodzielnego publicznego zakładu opieki zdrowotn</w:t>
      </w:r>
      <w:r w:rsidR="00380C20" w:rsidRPr="00586DEF">
        <w:rPr>
          <w:rFonts w:ascii="Times New Roman" w:hAnsi="Times New Roman" w:cs="Times New Roman"/>
          <w:color w:val="auto"/>
          <w:sz w:val="24"/>
          <w:szCs w:val="24"/>
        </w:rPr>
        <w:t>ej</w:t>
      </w:r>
      <w:bookmarkEnd w:id="2"/>
    </w:p>
    <w:p w14:paraId="10CE380A" w14:textId="77777777" w:rsidR="00380C20" w:rsidRPr="00586DEF" w:rsidRDefault="00380C20" w:rsidP="00380C20"/>
    <w:p w14:paraId="524885B7" w14:textId="77777777" w:rsidR="003F45BD" w:rsidRPr="00586DEF" w:rsidRDefault="003F45BD" w:rsidP="00380862">
      <w:pPr>
        <w:pStyle w:val="Nagwek3"/>
        <w:numPr>
          <w:ilvl w:val="2"/>
          <w:numId w:val="2"/>
        </w:numPr>
        <w:rPr>
          <w:rFonts w:ascii="Times New Roman" w:hAnsi="Times New Roman" w:cs="Times New Roman"/>
          <w:b w:val="0"/>
          <w:color w:val="auto"/>
          <w:szCs w:val="24"/>
        </w:rPr>
      </w:pPr>
      <w:bookmarkStart w:id="3" w:name="_Toc104448283"/>
      <w:r w:rsidRPr="00586DEF">
        <w:rPr>
          <w:rFonts w:ascii="Times New Roman" w:hAnsi="Times New Roman" w:cs="Times New Roman"/>
          <w:b w:val="0"/>
          <w:color w:val="auto"/>
          <w:szCs w:val="24"/>
        </w:rPr>
        <w:t>Wskaźniki zyskowności</w:t>
      </w:r>
      <w:bookmarkEnd w:id="3"/>
    </w:p>
    <w:p w14:paraId="433E8C28" w14:textId="77777777" w:rsidR="005565FE" w:rsidRPr="00586DEF" w:rsidRDefault="005565FE" w:rsidP="00124C85"/>
    <w:p w14:paraId="5193A9BB" w14:textId="77777777" w:rsidR="00124C85" w:rsidRPr="00586DEF" w:rsidRDefault="00124C85" w:rsidP="00416069">
      <w:pPr>
        <w:spacing w:line="360" w:lineRule="auto"/>
        <w:jc w:val="both"/>
      </w:pPr>
      <w:r w:rsidRPr="00586DEF">
        <w:t>Wskaźniki zyskowności określają zdolność podmiotu do generowania zysków, a zatem ekonomiczną efektywność działalności. Dodatnie wartości</w:t>
      </w:r>
      <w:r w:rsidR="005231E8" w:rsidRPr="00586DEF">
        <w:t xml:space="preserve"> wskaźników informują o racjonalnym gospodarowaniu, gdzie przychody</w:t>
      </w:r>
      <w:r w:rsidR="000534A8" w:rsidRPr="00586DEF">
        <w:t xml:space="preserve"> podmiotu przewyższają koszty.</w:t>
      </w:r>
    </w:p>
    <w:p w14:paraId="28E3448D" w14:textId="77777777" w:rsidR="00410BF7" w:rsidRPr="00586DEF" w:rsidRDefault="00410BF7" w:rsidP="00416069">
      <w:pPr>
        <w:spacing w:before="120" w:line="360" w:lineRule="auto"/>
        <w:jc w:val="both"/>
      </w:pPr>
      <w:r w:rsidRPr="00586DEF">
        <w:t>Wskaźnik zyskowności netto (%) pokazuje jaką część przychodów stanowi odnotowany zysk</w:t>
      </w:r>
      <w:r w:rsidR="00BB059F" w:rsidRPr="00586DEF">
        <w:t xml:space="preserve"> </w:t>
      </w:r>
      <w:r w:rsidRPr="00586DEF">
        <w:t>lub strata. W ten sposób jest określona efektywność gospodarki finansowej w odniesieniu do</w:t>
      </w:r>
      <w:r w:rsidR="00BB059F" w:rsidRPr="00586DEF">
        <w:t xml:space="preserve"> </w:t>
      </w:r>
      <w:r w:rsidRPr="00586DEF">
        <w:t>relacji przychody ogółem – koszty ogółem podmiotu.</w:t>
      </w:r>
    </w:p>
    <w:p w14:paraId="31C991FE" w14:textId="77777777" w:rsidR="00BB059F" w:rsidRPr="00586DEF" w:rsidRDefault="00BB059F" w:rsidP="00416069">
      <w:pPr>
        <w:spacing w:before="120" w:line="360" w:lineRule="auto"/>
        <w:jc w:val="both"/>
      </w:pPr>
      <w:r w:rsidRPr="00586DEF">
        <w:t>Wskaźnik zyskowności działalności operacyjnej (%) określa ekonomiczną efektywność działania podmiotu, z uwzględnieniem działalności podstawowej oraz pozostałej działalności operacyjnej.</w:t>
      </w:r>
    </w:p>
    <w:p w14:paraId="1DA552DD" w14:textId="0DAB431D" w:rsidR="004C55C6" w:rsidRPr="00DE0665" w:rsidRDefault="006812F1" w:rsidP="00DE0665">
      <w:pPr>
        <w:spacing w:before="120" w:line="360" w:lineRule="auto"/>
        <w:jc w:val="both"/>
      </w:pPr>
      <w:r w:rsidRPr="00586DEF">
        <w:t>Wskaźnik zyskowności aktywów (%) informuje o wielkości zysku lub straty</w:t>
      </w:r>
      <w:r w:rsidR="007E0A25" w:rsidRPr="00586DEF">
        <w:t xml:space="preserve"> przypadającej na </w:t>
      </w:r>
      <w:r w:rsidRPr="00586DEF">
        <w:t>jednostkę wartości zaangażowanych w podmiocie aktywów, czyli wyznacza on ogólną zdolność aktywów podmiotu do generowania zysku.</w:t>
      </w:r>
    </w:p>
    <w:p w14:paraId="6A68983D" w14:textId="77777777" w:rsidR="00583878" w:rsidRDefault="00583878" w:rsidP="004C55C6">
      <w:pPr>
        <w:jc w:val="both"/>
        <w:rPr>
          <w:rFonts w:cs="Arial"/>
          <w:bCs/>
          <w:szCs w:val="24"/>
        </w:rPr>
      </w:pPr>
    </w:p>
    <w:p w14:paraId="49A53F97" w14:textId="77777777" w:rsidR="00F94BC5" w:rsidRDefault="00F94BC5" w:rsidP="004C55C6">
      <w:pPr>
        <w:jc w:val="both"/>
        <w:rPr>
          <w:rFonts w:cs="Arial"/>
          <w:bCs/>
          <w:szCs w:val="24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800"/>
        <w:gridCol w:w="2134"/>
        <w:gridCol w:w="1403"/>
        <w:gridCol w:w="1559"/>
      </w:tblGrid>
      <w:tr w:rsidR="006D2E7E" w:rsidRPr="006D2E7E" w14:paraId="495B13EE" w14:textId="77777777" w:rsidTr="00BC68A0">
        <w:trPr>
          <w:trHeight w:val="255"/>
        </w:trPr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vAlign w:val="center"/>
            <w:hideMark/>
          </w:tcPr>
          <w:p w14:paraId="63855F1E" w14:textId="77777777" w:rsidR="006D2E7E" w:rsidRPr="006D2E7E" w:rsidRDefault="006D2E7E" w:rsidP="006D2E7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6D2E7E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WSKAŹNIKI ZYSKOWNOŚCI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E9EE4E2" w14:textId="77777777" w:rsidR="006D2E7E" w:rsidRPr="006D2E7E" w:rsidRDefault="00623148" w:rsidP="006D2E7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WARTOŚ</w:t>
            </w:r>
            <w:r w:rsidR="006D2E7E" w:rsidRPr="006D2E7E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Ć WSKAŹNIKA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0BF638F" w14:textId="77777777" w:rsidR="006D2E7E" w:rsidRPr="006D2E7E" w:rsidRDefault="006D2E7E" w:rsidP="006D2E7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6D2E7E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OCENA PODMIOTU</w:t>
            </w:r>
          </w:p>
        </w:tc>
      </w:tr>
      <w:tr w:rsidR="006D2E7E" w:rsidRPr="006D2E7E" w14:paraId="0109E9D2" w14:textId="77777777" w:rsidTr="00BC68A0">
        <w:trPr>
          <w:trHeight w:val="570"/>
        </w:trPr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14:paraId="46186708" w14:textId="77777777" w:rsidR="006D2E7E" w:rsidRPr="006D2E7E" w:rsidRDefault="006D2E7E" w:rsidP="006D2E7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6D2E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WSKAŹNIK ZYSKOWNOŚCI NETTO (%)   </w:t>
            </w:r>
            <w:r w:rsidRPr="006D2E7E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                                                                                                                           </w:t>
            </w:r>
            <w:r w:rsidR="00BB21F3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                            (</w:t>
            </w:r>
            <w:r w:rsidRPr="006D2E7E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Wynik netto X 100%) / (Przychody netto ze sprzedaży produktów + przychody netto ze sprzedaży towarów i materiałów + pozostałe przychody operacyjne + przychody finansowe)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14:paraId="31356D7B" w14:textId="77777777" w:rsidR="006D2E7E" w:rsidRPr="006D2E7E" w:rsidRDefault="006D2E7E" w:rsidP="006D2E7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D2E7E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69B5DDC6" w14:textId="77777777" w:rsidR="006D2E7E" w:rsidRPr="006D2E7E" w:rsidRDefault="006D2E7E" w:rsidP="006D2E7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63636"/>
                <w:sz w:val="26"/>
                <w:szCs w:val="26"/>
                <w:lang w:eastAsia="pl-PL"/>
              </w:rPr>
            </w:pPr>
            <w:r w:rsidRPr="006D2E7E">
              <w:rPr>
                <w:rFonts w:ascii="Arial" w:eastAsia="Times New Roman" w:hAnsi="Arial" w:cs="Arial"/>
                <w:b/>
                <w:bCs/>
                <w:color w:val="363636"/>
                <w:sz w:val="26"/>
                <w:szCs w:val="26"/>
                <w:lang w:eastAsia="pl-PL"/>
              </w:rPr>
              <w:t> </w:t>
            </w:r>
          </w:p>
        </w:tc>
      </w:tr>
      <w:tr w:rsidR="006D2E7E" w:rsidRPr="006D2E7E" w14:paraId="324C808C" w14:textId="77777777" w:rsidTr="00BC68A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DE8C" w14:textId="77777777" w:rsidR="006D2E7E" w:rsidRPr="006D2E7E" w:rsidRDefault="00601FA9" w:rsidP="006D2E7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Lp</w:t>
            </w:r>
            <w:r w:rsidR="006D2E7E" w:rsidRPr="006D2E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A916" w14:textId="77777777" w:rsidR="006D2E7E" w:rsidRPr="006D2E7E" w:rsidRDefault="006D2E7E" w:rsidP="006D2E7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D2E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PRZEDZIAŁY WARTOŚCI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E4522F" w14:textId="77777777" w:rsidR="006D2E7E" w:rsidRPr="006D2E7E" w:rsidRDefault="006D2E7E" w:rsidP="006D2E7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D2E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OCENA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C0D1" w14:textId="183F25E1" w:rsidR="006D2E7E" w:rsidRPr="006D2E7E" w:rsidRDefault="00A35691" w:rsidP="006D2E7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3,20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19C6" w14:textId="240EE0C1" w:rsidR="006D2E7E" w:rsidRPr="006D2E7E" w:rsidRDefault="00A35691" w:rsidP="006D2E7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63636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63636"/>
                <w:szCs w:val="22"/>
                <w:lang w:eastAsia="pl-PL"/>
              </w:rPr>
              <w:t>4</w:t>
            </w:r>
          </w:p>
        </w:tc>
      </w:tr>
      <w:tr w:rsidR="006D2E7E" w:rsidRPr="006D2E7E" w14:paraId="4D983313" w14:textId="77777777" w:rsidTr="00BC68A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3681" w14:textId="77777777" w:rsidR="006D2E7E" w:rsidRPr="006D2E7E" w:rsidRDefault="006D2E7E" w:rsidP="006D2E7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D2E7E">
              <w:rPr>
                <w:rFonts w:ascii="Arial" w:eastAsia="Times New Roman" w:hAnsi="Arial" w:cs="Arial"/>
                <w:sz w:val="20"/>
                <w:lang w:eastAsia="pl-PL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BCD1" w14:textId="77777777" w:rsidR="006D2E7E" w:rsidRPr="006D2E7E" w:rsidRDefault="006D2E7E" w:rsidP="006D2E7E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D2E7E">
              <w:rPr>
                <w:rFonts w:ascii="Arial" w:eastAsia="Times New Roman" w:hAnsi="Arial" w:cs="Arial"/>
                <w:sz w:val="20"/>
                <w:lang w:eastAsia="pl-PL"/>
              </w:rPr>
              <w:t>poniżej 0,0%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F827A" w14:textId="77777777" w:rsidR="006D2E7E" w:rsidRPr="006D2E7E" w:rsidRDefault="006D2E7E" w:rsidP="006D2E7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D2E7E">
              <w:rPr>
                <w:rFonts w:ascii="Arial" w:eastAsia="Times New Roman" w:hAnsi="Arial" w:cs="Arial"/>
                <w:sz w:val="20"/>
                <w:lang w:eastAsia="pl-PL"/>
              </w:rPr>
              <w:t>0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7988" w14:textId="77777777" w:rsidR="006D2E7E" w:rsidRPr="006D2E7E" w:rsidRDefault="006D2E7E" w:rsidP="006D2E7E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2FF1" w14:textId="77777777" w:rsidR="006D2E7E" w:rsidRPr="006D2E7E" w:rsidRDefault="006D2E7E" w:rsidP="006D2E7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363636"/>
                <w:szCs w:val="22"/>
                <w:lang w:eastAsia="pl-PL"/>
              </w:rPr>
            </w:pPr>
          </w:p>
        </w:tc>
      </w:tr>
      <w:tr w:rsidR="006D2E7E" w:rsidRPr="006D2E7E" w14:paraId="7FE165B1" w14:textId="77777777" w:rsidTr="00BC68A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49ED" w14:textId="77777777" w:rsidR="006D2E7E" w:rsidRPr="006D2E7E" w:rsidRDefault="006D2E7E" w:rsidP="006D2E7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D2E7E">
              <w:rPr>
                <w:rFonts w:ascii="Arial" w:eastAsia="Times New Roman" w:hAnsi="Arial" w:cs="Arial"/>
                <w:sz w:val="20"/>
                <w:lang w:eastAsia="pl-PL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E3C3" w14:textId="77777777" w:rsidR="006D2E7E" w:rsidRPr="006D2E7E" w:rsidRDefault="006D2E7E" w:rsidP="006D2E7E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D2E7E">
              <w:rPr>
                <w:rFonts w:ascii="Arial" w:eastAsia="Times New Roman" w:hAnsi="Arial" w:cs="Arial"/>
                <w:sz w:val="20"/>
                <w:lang w:eastAsia="pl-PL"/>
              </w:rPr>
              <w:t>od 0,0% do 2,0%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A8170" w14:textId="77777777" w:rsidR="006D2E7E" w:rsidRPr="006D2E7E" w:rsidRDefault="006D2E7E" w:rsidP="006D2E7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D2E7E">
              <w:rPr>
                <w:rFonts w:ascii="Arial" w:eastAsia="Times New Roman" w:hAnsi="Arial" w:cs="Arial"/>
                <w:sz w:val="20"/>
                <w:lang w:eastAsia="pl-PL"/>
              </w:rPr>
              <w:t>3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4781C" w14:textId="77777777" w:rsidR="006D2E7E" w:rsidRPr="006D2E7E" w:rsidRDefault="006D2E7E" w:rsidP="006D2E7E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09C84" w14:textId="77777777" w:rsidR="006D2E7E" w:rsidRPr="006D2E7E" w:rsidRDefault="006D2E7E" w:rsidP="006D2E7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363636"/>
                <w:szCs w:val="22"/>
                <w:lang w:eastAsia="pl-PL"/>
              </w:rPr>
            </w:pPr>
          </w:p>
        </w:tc>
      </w:tr>
      <w:tr w:rsidR="006D2E7E" w:rsidRPr="006D2E7E" w14:paraId="3958132D" w14:textId="77777777" w:rsidTr="00BC68A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2D51" w14:textId="77777777" w:rsidR="006D2E7E" w:rsidRPr="006D2E7E" w:rsidRDefault="006D2E7E" w:rsidP="006D2E7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D2E7E">
              <w:rPr>
                <w:rFonts w:ascii="Arial" w:eastAsia="Times New Roman" w:hAnsi="Arial" w:cs="Arial"/>
                <w:sz w:val="20"/>
                <w:lang w:eastAsia="pl-PL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3332" w14:textId="77777777" w:rsidR="006D2E7E" w:rsidRPr="006D2E7E" w:rsidRDefault="006D2E7E" w:rsidP="006D2E7E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D2E7E">
              <w:rPr>
                <w:rFonts w:ascii="Arial" w:eastAsia="Times New Roman" w:hAnsi="Arial" w:cs="Arial"/>
                <w:sz w:val="20"/>
                <w:lang w:eastAsia="pl-PL"/>
              </w:rPr>
              <w:t>powyżej 2,0% do 4,0%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2FCE6" w14:textId="77777777" w:rsidR="006D2E7E" w:rsidRPr="006D2E7E" w:rsidRDefault="006D2E7E" w:rsidP="006D2E7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D2E7E">
              <w:rPr>
                <w:rFonts w:ascii="Arial" w:eastAsia="Times New Roman" w:hAnsi="Arial" w:cs="Arial"/>
                <w:sz w:val="20"/>
                <w:lang w:eastAsia="pl-PL"/>
              </w:rPr>
              <w:t>4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E796" w14:textId="77777777" w:rsidR="006D2E7E" w:rsidRPr="006D2E7E" w:rsidRDefault="006D2E7E" w:rsidP="006D2E7E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D2BD9" w14:textId="77777777" w:rsidR="006D2E7E" w:rsidRPr="006D2E7E" w:rsidRDefault="006D2E7E" w:rsidP="006D2E7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363636"/>
                <w:szCs w:val="22"/>
                <w:lang w:eastAsia="pl-PL"/>
              </w:rPr>
            </w:pPr>
          </w:p>
        </w:tc>
      </w:tr>
      <w:tr w:rsidR="006D2E7E" w:rsidRPr="006D2E7E" w14:paraId="5896F6CE" w14:textId="77777777" w:rsidTr="00BC68A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7C0B" w14:textId="77777777" w:rsidR="006D2E7E" w:rsidRPr="006D2E7E" w:rsidRDefault="006D2E7E" w:rsidP="006D2E7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D2E7E">
              <w:rPr>
                <w:rFonts w:ascii="Arial" w:eastAsia="Times New Roman" w:hAnsi="Arial" w:cs="Arial"/>
                <w:sz w:val="20"/>
                <w:lang w:eastAsia="pl-PL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6B8B" w14:textId="77777777" w:rsidR="006D2E7E" w:rsidRPr="006D2E7E" w:rsidRDefault="006D2E7E" w:rsidP="006D2E7E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D2E7E">
              <w:rPr>
                <w:rFonts w:ascii="Arial" w:eastAsia="Times New Roman" w:hAnsi="Arial" w:cs="Arial"/>
                <w:sz w:val="20"/>
                <w:lang w:eastAsia="pl-PL"/>
              </w:rPr>
              <w:t>powyżej 4,0%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57A29" w14:textId="77777777" w:rsidR="006D2E7E" w:rsidRPr="006D2E7E" w:rsidRDefault="006D2E7E" w:rsidP="006D2E7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D2E7E">
              <w:rPr>
                <w:rFonts w:ascii="Arial" w:eastAsia="Times New Roman" w:hAnsi="Arial" w:cs="Arial"/>
                <w:sz w:val="20"/>
                <w:lang w:eastAsia="pl-PL"/>
              </w:rPr>
              <w:t>5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C2606" w14:textId="77777777" w:rsidR="006D2E7E" w:rsidRPr="006D2E7E" w:rsidRDefault="006D2E7E" w:rsidP="006D2E7E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B97AF" w14:textId="77777777" w:rsidR="006D2E7E" w:rsidRPr="006D2E7E" w:rsidRDefault="006D2E7E" w:rsidP="006D2E7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363636"/>
                <w:szCs w:val="22"/>
                <w:lang w:eastAsia="pl-PL"/>
              </w:rPr>
            </w:pPr>
          </w:p>
        </w:tc>
      </w:tr>
      <w:tr w:rsidR="006D2E7E" w:rsidRPr="006D2E7E" w14:paraId="0617D291" w14:textId="77777777" w:rsidTr="00BC68A0">
        <w:trPr>
          <w:trHeight w:val="630"/>
        </w:trPr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14:paraId="32871BB2" w14:textId="77777777" w:rsidR="006D2E7E" w:rsidRPr="006D2E7E" w:rsidRDefault="006D2E7E" w:rsidP="006D2E7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6D2E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WSKAŹNIK ZYSKOWNOŚCI DZIAŁALNOŚCI OPERACYJNEJ (%)                                                                        </w:t>
            </w:r>
            <w:r w:rsidRPr="006D2E7E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        </w:t>
            </w:r>
            <w:r w:rsidR="00BB21F3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                             </w:t>
            </w:r>
            <w:r w:rsidRPr="006D2E7E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(Wynik </w:t>
            </w:r>
            <w:r w:rsidR="006863B5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z działalności operacyjnej X</w:t>
            </w:r>
            <w:r w:rsidRPr="006D2E7E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100%) / (Przychody netto ze sprzedaży produktów + przychody netto ze sprzedaży towarów i materiałów + pozostałe przychody operacyjne)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14:paraId="043E53DC" w14:textId="77777777" w:rsidR="006D2E7E" w:rsidRPr="006D2E7E" w:rsidRDefault="006D2E7E" w:rsidP="006D2E7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D2E7E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6623CA61" w14:textId="77777777" w:rsidR="006D2E7E" w:rsidRPr="006D2E7E" w:rsidRDefault="006D2E7E" w:rsidP="006D2E7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63636"/>
                <w:sz w:val="26"/>
                <w:szCs w:val="26"/>
                <w:lang w:eastAsia="pl-PL"/>
              </w:rPr>
            </w:pPr>
            <w:r w:rsidRPr="006D2E7E">
              <w:rPr>
                <w:rFonts w:ascii="Arial" w:eastAsia="Times New Roman" w:hAnsi="Arial" w:cs="Arial"/>
                <w:b/>
                <w:bCs/>
                <w:color w:val="363636"/>
                <w:sz w:val="26"/>
                <w:szCs w:val="26"/>
                <w:lang w:eastAsia="pl-PL"/>
              </w:rPr>
              <w:t> </w:t>
            </w:r>
          </w:p>
        </w:tc>
      </w:tr>
      <w:tr w:rsidR="006D2E7E" w:rsidRPr="006D2E7E" w14:paraId="7240A300" w14:textId="77777777" w:rsidTr="00BC68A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CAA8" w14:textId="77777777" w:rsidR="006D2E7E" w:rsidRPr="006D2E7E" w:rsidRDefault="00601FA9" w:rsidP="006D2E7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Lp</w:t>
            </w:r>
            <w:r w:rsidRPr="006D2E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81E6" w14:textId="77777777" w:rsidR="006D2E7E" w:rsidRPr="006D2E7E" w:rsidRDefault="006D2E7E" w:rsidP="006D2E7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D2E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PRZEDZIAŁY WARTOŚCI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C0197D" w14:textId="77777777" w:rsidR="006D2E7E" w:rsidRPr="006D2E7E" w:rsidRDefault="006D2E7E" w:rsidP="006D2E7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D2E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OCENA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2653" w14:textId="77777777" w:rsidR="006D2E7E" w:rsidRDefault="006D2E7E" w:rsidP="006D2E7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D2E7E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A35691">
              <w:rPr>
                <w:rFonts w:ascii="Arial" w:eastAsia="Times New Roman" w:hAnsi="Arial" w:cs="Arial"/>
                <w:sz w:val="20"/>
                <w:lang w:eastAsia="pl-PL"/>
              </w:rPr>
              <w:t>3,</w:t>
            </w:r>
            <w:r w:rsidR="00450480">
              <w:rPr>
                <w:rFonts w:ascii="Arial" w:eastAsia="Times New Roman" w:hAnsi="Arial" w:cs="Arial"/>
                <w:sz w:val="20"/>
                <w:lang w:eastAsia="pl-PL"/>
              </w:rPr>
              <w:t>20</w:t>
            </w:r>
          </w:p>
          <w:p w14:paraId="5F9EAE72" w14:textId="008BBD9D" w:rsidR="00450480" w:rsidRPr="006D2E7E" w:rsidRDefault="00450480" w:rsidP="006D2E7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23AD" w14:textId="0042757A" w:rsidR="006D2E7E" w:rsidRPr="006D2E7E" w:rsidRDefault="00DE0665" w:rsidP="006D2E7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63636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63636"/>
                <w:szCs w:val="22"/>
                <w:lang w:eastAsia="pl-PL"/>
              </w:rPr>
              <w:t>4</w:t>
            </w:r>
          </w:p>
        </w:tc>
      </w:tr>
      <w:tr w:rsidR="006D2E7E" w:rsidRPr="006D2E7E" w14:paraId="350C1B5B" w14:textId="77777777" w:rsidTr="00BC68A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1A35" w14:textId="77777777" w:rsidR="006D2E7E" w:rsidRPr="006D2E7E" w:rsidRDefault="006D2E7E" w:rsidP="006D2E7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D2E7E">
              <w:rPr>
                <w:rFonts w:ascii="Arial" w:eastAsia="Times New Roman" w:hAnsi="Arial" w:cs="Arial"/>
                <w:sz w:val="20"/>
                <w:lang w:eastAsia="pl-PL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299C" w14:textId="77777777" w:rsidR="006D2E7E" w:rsidRPr="006D2E7E" w:rsidRDefault="006D2E7E" w:rsidP="006D2E7E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D2E7E">
              <w:rPr>
                <w:rFonts w:ascii="Arial" w:eastAsia="Times New Roman" w:hAnsi="Arial" w:cs="Arial"/>
                <w:sz w:val="20"/>
                <w:lang w:eastAsia="pl-PL"/>
              </w:rPr>
              <w:t>poniżej 0,0%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53504" w14:textId="77777777" w:rsidR="006D2E7E" w:rsidRPr="006D2E7E" w:rsidRDefault="006D2E7E" w:rsidP="006D2E7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D2E7E">
              <w:rPr>
                <w:rFonts w:ascii="Arial" w:eastAsia="Times New Roman" w:hAnsi="Arial" w:cs="Arial"/>
                <w:sz w:val="20"/>
                <w:lang w:eastAsia="pl-PL"/>
              </w:rPr>
              <w:t>0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B125" w14:textId="77777777" w:rsidR="006D2E7E" w:rsidRPr="006D2E7E" w:rsidRDefault="006D2E7E" w:rsidP="006D2E7E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B859" w14:textId="77777777" w:rsidR="006D2E7E" w:rsidRPr="006D2E7E" w:rsidRDefault="006D2E7E" w:rsidP="006D2E7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363636"/>
                <w:szCs w:val="22"/>
                <w:lang w:eastAsia="pl-PL"/>
              </w:rPr>
            </w:pPr>
          </w:p>
        </w:tc>
      </w:tr>
      <w:tr w:rsidR="006D2E7E" w:rsidRPr="006D2E7E" w14:paraId="4CA5FEFD" w14:textId="77777777" w:rsidTr="00BC68A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30A0" w14:textId="77777777" w:rsidR="006D2E7E" w:rsidRPr="006D2E7E" w:rsidRDefault="006D2E7E" w:rsidP="006D2E7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D2E7E">
              <w:rPr>
                <w:rFonts w:ascii="Arial" w:eastAsia="Times New Roman" w:hAnsi="Arial" w:cs="Arial"/>
                <w:sz w:val="20"/>
                <w:lang w:eastAsia="pl-PL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374E" w14:textId="77777777" w:rsidR="006D2E7E" w:rsidRPr="006D2E7E" w:rsidRDefault="006D2E7E" w:rsidP="006D2E7E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D2E7E">
              <w:rPr>
                <w:rFonts w:ascii="Arial" w:eastAsia="Times New Roman" w:hAnsi="Arial" w:cs="Arial"/>
                <w:sz w:val="20"/>
                <w:lang w:eastAsia="pl-PL"/>
              </w:rPr>
              <w:t>od 0,0% do 3,0%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66242" w14:textId="77777777" w:rsidR="006D2E7E" w:rsidRPr="006D2E7E" w:rsidRDefault="006D2E7E" w:rsidP="006D2E7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D2E7E">
              <w:rPr>
                <w:rFonts w:ascii="Arial" w:eastAsia="Times New Roman" w:hAnsi="Arial" w:cs="Arial"/>
                <w:sz w:val="20"/>
                <w:lang w:eastAsia="pl-PL"/>
              </w:rPr>
              <w:t>3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45D4A" w14:textId="77777777" w:rsidR="006D2E7E" w:rsidRPr="006D2E7E" w:rsidRDefault="006D2E7E" w:rsidP="006D2E7E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B9527" w14:textId="77777777" w:rsidR="006D2E7E" w:rsidRPr="006D2E7E" w:rsidRDefault="006D2E7E" w:rsidP="006D2E7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363636"/>
                <w:szCs w:val="22"/>
                <w:lang w:eastAsia="pl-PL"/>
              </w:rPr>
            </w:pPr>
          </w:p>
        </w:tc>
      </w:tr>
      <w:tr w:rsidR="006D2E7E" w:rsidRPr="006D2E7E" w14:paraId="64E163EB" w14:textId="77777777" w:rsidTr="00BC68A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19A3" w14:textId="77777777" w:rsidR="006D2E7E" w:rsidRPr="006D2E7E" w:rsidRDefault="006D2E7E" w:rsidP="006D2E7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D2E7E">
              <w:rPr>
                <w:rFonts w:ascii="Arial" w:eastAsia="Times New Roman" w:hAnsi="Arial" w:cs="Arial"/>
                <w:sz w:val="20"/>
                <w:lang w:eastAsia="pl-PL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4101" w14:textId="77777777" w:rsidR="006D2E7E" w:rsidRPr="006D2E7E" w:rsidRDefault="006D2E7E" w:rsidP="006D2E7E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D2E7E">
              <w:rPr>
                <w:rFonts w:ascii="Arial" w:eastAsia="Times New Roman" w:hAnsi="Arial" w:cs="Arial"/>
                <w:sz w:val="20"/>
                <w:lang w:eastAsia="pl-PL"/>
              </w:rPr>
              <w:t>powyżej 3,0% do 5,0%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2A572" w14:textId="77777777" w:rsidR="006D2E7E" w:rsidRPr="006D2E7E" w:rsidRDefault="006D2E7E" w:rsidP="006D2E7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D2E7E">
              <w:rPr>
                <w:rFonts w:ascii="Arial" w:eastAsia="Times New Roman" w:hAnsi="Arial" w:cs="Arial"/>
                <w:sz w:val="20"/>
                <w:lang w:eastAsia="pl-PL"/>
              </w:rPr>
              <w:t>4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D756" w14:textId="77777777" w:rsidR="006D2E7E" w:rsidRPr="006D2E7E" w:rsidRDefault="006D2E7E" w:rsidP="006D2E7E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DEAD" w14:textId="77777777" w:rsidR="006D2E7E" w:rsidRPr="006D2E7E" w:rsidRDefault="006D2E7E" w:rsidP="006D2E7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363636"/>
                <w:szCs w:val="22"/>
                <w:lang w:eastAsia="pl-PL"/>
              </w:rPr>
            </w:pPr>
          </w:p>
        </w:tc>
      </w:tr>
      <w:tr w:rsidR="006D2E7E" w:rsidRPr="006D2E7E" w14:paraId="2519D35D" w14:textId="77777777" w:rsidTr="00BC68A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1CBE" w14:textId="77777777" w:rsidR="006D2E7E" w:rsidRPr="006D2E7E" w:rsidRDefault="006D2E7E" w:rsidP="006D2E7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D2E7E">
              <w:rPr>
                <w:rFonts w:ascii="Arial" w:eastAsia="Times New Roman" w:hAnsi="Arial" w:cs="Arial"/>
                <w:sz w:val="20"/>
                <w:lang w:eastAsia="pl-PL"/>
              </w:rPr>
              <w:lastRenderedPageBreak/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6DDB" w14:textId="77777777" w:rsidR="006D2E7E" w:rsidRPr="006D2E7E" w:rsidRDefault="006D2E7E" w:rsidP="006D2E7E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D2E7E">
              <w:rPr>
                <w:rFonts w:ascii="Arial" w:eastAsia="Times New Roman" w:hAnsi="Arial" w:cs="Arial"/>
                <w:sz w:val="20"/>
                <w:lang w:eastAsia="pl-PL"/>
              </w:rPr>
              <w:t>powyżej 5,0%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D3350" w14:textId="77777777" w:rsidR="006D2E7E" w:rsidRPr="006D2E7E" w:rsidRDefault="006D2E7E" w:rsidP="006D2E7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D2E7E">
              <w:rPr>
                <w:rFonts w:ascii="Arial" w:eastAsia="Times New Roman" w:hAnsi="Arial" w:cs="Arial"/>
                <w:sz w:val="20"/>
                <w:lang w:eastAsia="pl-PL"/>
              </w:rPr>
              <w:t>5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6C37" w14:textId="77777777" w:rsidR="006D2E7E" w:rsidRPr="006D2E7E" w:rsidRDefault="006D2E7E" w:rsidP="006D2E7E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23FE3" w14:textId="77777777" w:rsidR="006D2E7E" w:rsidRPr="006D2E7E" w:rsidRDefault="006D2E7E" w:rsidP="006D2E7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363636"/>
                <w:szCs w:val="22"/>
                <w:lang w:eastAsia="pl-PL"/>
              </w:rPr>
            </w:pPr>
          </w:p>
        </w:tc>
      </w:tr>
      <w:tr w:rsidR="006D2E7E" w:rsidRPr="006D2E7E" w14:paraId="2552010C" w14:textId="77777777" w:rsidTr="00BC68A0">
        <w:trPr>
          <w:trHeight w:val="435"/>
        </w:trPr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DDDC"/>
            <w:vAlign w:val="center"/>
            <w:hideMark/>
          </w:tcPr>
          <w:p w14:paraId="6ACE5FD7" w14:textId="77777777" w:rsidR="006D2E7E" w:rsidRPr="006D2E7E" w:rsidRDefault="006D2E7E" w:rsidP="006D2E7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6D2E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WSKAŹNIK ZYSKOWNOŚCI AKTYWÓW</w:t>
            </w:r>
            <w:r w:rsidRPr="006D2E7E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                                                                                                                                            </w:t>
            </w:r>
            <w:r w:rsidR="00BB21F3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       (Wynik netto X </w:t>
            </w:r>
            <w:r w:rsidRPr="006D2E7E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100%</w:t>
            </w:r>
            <w:r w:rsidR="00BB21F3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)</w:t>
            </w:r>
            <w:r w:rsidRPr="006D2E7E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/ Średni stan aktywów</w:t>
            </w:r>
          </w:p>
        </w:tc>
        <w:tc>
          <w:tcPr>
            <w:tcW w:w="14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vAlign w:val="center"/>
            <w:hideMark/>
          </w:tcPr>
          <w:p w14:paraId="0A3F98C5" w14:textId="77777777" w:rsidR="006D2E7E" w:rsidRPr="006D2E7E" w:rsidRDefault="006D2E7E" w:rsidP="006D2E7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D2E7E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44D47324" w14:textId="77777777" w:rsidR="006D2E7E" w:rsidRPr="006D2E7E" w:rsidRDefault="006D2E7E" w:rsidP="006D2E7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63636"/>
                <w:sz w:val="26"/>
                <w:szCs w:val="26"/>
                <w:lang w:eastAsia="pl-PL"/>
              </w:rPr>
            </w:pPr>
            <w:r w:rsidRPr="006D2E7E">
              <w:rPr>
                <w:rFonts w:ascii="Arial" w:eastAsia="Times New Roman" w:hAnsi="Arial" w:cs="Arial"/>
                <w:b/>
                <w:bCs/>
                <w:color w:val="363636"/>
                <w:sz w:val="26"/>
                <w:szCs w:val="26"/>
                <w:lang w:eastAsia="pl-PL"/>
              </w:rPr>
              <w:t> </w:t>
            </w:r>
          </w:p>
        </w:tc>
      </w:tr>
      <w:tr w:rsidR="006D2E7E" w:rsidRPr="006D2E7E" w14:paraId="756706A4" w14:textId="77777777" w:rsidTr="00BC68A0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14:paraId="55FF0273" w14:textId="77777777" w:rsidR="006D2E7E" w:rsidRPr="006D2E7E" w:rsidRDefault="006D2E7E" w:rsidP="006D2E7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6D2E7E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14:paraId="330DCE7E" w14:textId="77777777" w:rsidR="006D2E7E" w:rsidRPr="006D2E7E" w:rsidRDefault="006D2E7E" w:rsidP="006D2E7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pl-PL"/>
              </w:rPr>
            </w:pPr>
            <w:r w:rsidRPr="006D2E7E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pl-PL"/>
              </w:rPr>
              <w:t>gdzie średni stan aktywów to suma aktywów razem na koniec poprzedniego roku obrotowego i aktywów razem na koniec bieżącego roku obrotowego podzielona przez 2</w:t>
            </w:r>
          </w:p>
        </w:tc>
        <w:tc>
          <w:tcPr>
            <w:tcW w:w="14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B79403" w14:textId="77777777" w:rsidR="006D2E7E" w:rsidRPr="006D2E7E" w:rsidRDefault="006D2E7E" w:rsidP="006D2E7E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60192" w14:textId="77777777" w:rsidR="006D2E7E" w:rsidRPr="006D2E7E" w:rsidRDefault="006D2E7E" w:rsidP="006D2E7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363636"/>
                <w:sz w:val="26"/>
                <w:szCs w:val="26"/>
                <w:lang w:eastAsia="pl-PL"/>
              </w:rPr>
            </w:pPr>
          </w:p>
        </w:tc>
      </w:tr>
      <w:tr w:rsidR="006D2E7E" w:rsidRPr="006D2E7E" w14:paraId="6C157BA1" w14:textId="77777777" w:rsidTr="00BC68A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C229" w14:textId="77777777" w:rsidR="006D2E7E" w:rsidRPr="006D2E7E" w:rsidRDefault="00601FA9" w:rsidP="006D2E7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Lp</w:t>
            </w:r>
            <w:r w:rsidRPr="006D2E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46AE" w14:textId="77777777" w:rsidR="006D2E7E" w:rsidRPr="006D2E7E" w:rsidRDefault="006D2E7E" w:rsidP="006D2E7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D2E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PRZEDZIAŁY WARTOŚCI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B6C5B" w14:textId="77777777" w:rsidR="006D2E7E" w:rsidRPr="006D2E7E" w:rsidRDefault="006D2E7E" w:rsidP="006D2E7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D2E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OCENA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D586" w14:textId="69341234" w:rsidR="006D2E7E" w:rsidRDefault="006D2E7E" w:rsidP="006D2E7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  <w:p w14:paraId="13642FE7" w14:textId="044FE6ED" w:rsidR="00B33EA4" w:rsidRDefault="00A35691" w:rsidP="006D2E7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9,9</w:t>
            </w:r>
            <w:r w:rsidR="00450480">
              <w:rPr>
                <w:rFonts w:ascii="Arial" w:eastAsia="Times New Roman" w:hAnsi="Arial" w:cs="Arial"/>
                <w:sz w:val="20"/>
                <w:lang w:eastAsia="pl-PL"/>
              </w:rPr>
              <w:t>2</w:t>
            </w:r>
          </w:p>
          <w:p w14:paraId="1E827CC2" w14:textId="77777777" w:rsidR="00450480" w:rsidRDefault="00450480" w:rsidP="006D2E7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  <w:p w14:paraId="058E6991" w14:textId="77777777" w:rsidR="00B33EA4" w:rsidRPr="006D2E7E" w:rsidRDefault="00B33EA4" w:rsidP="006D2E7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9F71" w14:textId="06F85462" w:rsidR="00760763" w:rsidRPr="00760763" w:rsidRDefault="006D2E7E" w:rsidP="006D2E7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63636"/>
                <w:szCs w:val="22"/>
                <w:lang w:eastAsia="pl-PL"/>
              </w:rPr>
            </w:pPr>
            <w:r w:rsidRPr="006D2E7E">
              <w:rPr>
                <w:rFonts w:ascii="Arial" w:eastAsia="Times New Roman" w:hAnsi="Arial" w:cs="Arial"/>
                <w:b/>
                <w:bCs/>
                <w:color w:val="363636"/>
                <w:sz w:val="22"/>
                <w:szCs w:val="22"/>
                <w:lang w:eastAsia="pl-PL"/>
              </w:rPr>
              <w:t> </w:t>
            </w:r>
            <w:r w:rsidR="00DE0665">
              <w:rPr>
                <w:rFonts w:ascii="Arial" w:eastAsia="Times New Roman" w:hAnsi="Arial" w:cs="Arial"/>
                <w:b/>
                <w:bCs/>
                <w:color w:val="363636"/>
                <w:sz w:val="22"/>
                <w:szCs w:val="22"/>
                <w:lang w:eastAsia="pl-PL"/>
              </w:rPr>
              <w:t>5</w:t>
            </w:r>
          </w:p>
        </w:tc>
      </w:tr>
      <w:tr w:rsidR="006D2E7E" w:rsidRPr="006D2E7E" w14:paraId="4B17C73C" w14:textId="77777777" w:rsidTr="00BC68A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B791" w14:textId="77777777" w:rsidR="006D2E7E" w:rsidRPr="006D2E7E" w:rsidRDefault="006D2E7E" w:rsidP="006D2E7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D2E7E">
              <w:rPr>
                <w:rFonts w:ascii="Arial" w:eastAsia="Times New Roman" w:hAnsi="Arial" w:cs="Arial"/>
                <w:sz w:val="20"/>
                <w:lang w:eastAsia="pl-PL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F4B0" w14:textId="77777777" w:rsidR="006D2E7E" w:rsidRPr="006D2E7E" w:rsidRDefault="006D2E7E" w:rsidP="006D2E7E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D2E7E">
              <w:rPr>
                <w:rFonts w:ascii="Arial" w:eastAsia="Times New Roman" w:hAnsi="Arial" w:cs="Arial"/>
                <w:sz w:val="20"/>
                <w:lang w:eastAsia="pl-PL"/>
              </w:rPr>
              <w:t>poniżej 0,0%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1FAEC" w14:textId="77777777" w:rsidR="006D2E7E" w:rsidRPr="006D2E7E" w:rsidRDefault="006D2E7E" w:rsidP="006D2E7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D2E7E">
              <w:rPr>
                <w:rFonts w:ascii="Arial" w:eastAsia="Times New Roman" w:hAnsi="Arial" w:cs="Arial"/>
                <w:sz w:val="20"/>
                <w:lang w:eastAsia="pl-PL"/>
              </w:rPr>
              <w:t>0</w:t>
            </w: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41AA9" w14:textId="77777777" w:rsidR="006D2E7E" w:rsidRPr="006D2E7E" w:rsidRDefault="006D2E7E" w:rsidP="006D2E7E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80A9" w14:textId="77777777" w:rsidR="006D2E7E" w:rsidRPr="006D2E7E" w:rsidRDefault="006D2E7E" w:rsidP="006D2E7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363636"/>
                <w:szCs w:val="22"/>
                <w:lang w:eastAsia="pl-PL"/>
              </w:rPr>
            </w:pPr>
          </w:p>
        </w:tc>
      </w:tr>
      <w:tr w:rsidR="006D2E7E" w:rsidRPr="006D2E7E" w14:paraId="633028B3" w14:textId="77777777" w:rsidTr="00BC68A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1B97" w14:textId="77777777" w:rsidR="006D2E7E" w:rsidRPr="006D2E7E" w:rsidRDefault="006D2E7E" w:rsidP="006D2E7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D2E7E">
              <w:rPr>
                <w:rFonts w:ascii="Arial" w:eastAsia="Times New Roman" w:hAnsi="Arial" w:cs="Arial"/>
                <w:sz w:val="20"/>
                <w:lang w:eastAsia="pl-PL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650B" w14:textId="77777777" w:rsidR="006D2E7E" w:rsidRPr="006D2E7E" w:rsidRDefault="006D2E7E" w:rsidP="006D2E7E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D2E7E">
              <w:rPr>
                <w:rFonts w:ascii="Arial" w:eastAsia="Times New Roman" w:hAnsi="Arial" w:cs="Arial"/>
                <w:sz w:val="20"/>
                <w:lang w:eastAsia="pl-PL"/>
              </w:rPr>
              <w:t>od 0,0% do 2,0%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F3421" w14:textId="77777777" w:rsidR="006D2E7E" w:rsidRPr="006D2E7E" w:rsidRDefault="006D2E7E" w:rsidP="006D2E7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D2E7E">
              <w:rPr>
                <w:rFonts w:ascii="Arial" w:eastAsia="Times New Roman" w:hAnsi="Arial" w:cs="Arial"/>
                <w:sz w:val="20"/>
                <w:lang w:eastAsia="pl-PL"/>
              </w:rPr>
              <w:t>3</w:t>
            </w: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CDB9" w14:textId="77777777" w:rsidR="006D2E7E" w:rsidRPr="006D2E7E" w:rsidRDefault="006D2E7E" w:rsidP="006D2E7E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1616" w14:textId="77777777" w:rsidR="006D2E7E" w:rsidRPr="006D2E7E" w:rsidRDefault="006D2E7E" w:rsidP="006D2E7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363636"/>
                <w:szCs w:val="22"/>
                <w:lang w:eastAsia="pl-PL"/>
              </w:rPr>
            </w:pPr>
          </w:p>
        </w:tc>
      </w:tr>
      <w:tr w:rsidR="006D2E7E" w:rsidRPr="006D2E7E" w14:paraId="12916217" w14:textId="77777777" w:rsidTr="00BC68A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4BA5" w14:textId="77777777" w:rsidR="006D2E7E" w:rsidRPr="006D2E7E" w:rsidRDefault="006D2E7E" w:rsidP="006D2E7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D2E7E">
              <w:rPr>
                <w:rFonts w:ascii="Arial" w:eastAsia="Times New Roman" w:hAnsi="Arial" w:cs="Arial"/>
                <w:sz w:val="20"/>
                <w:lang w:eastAsia="pl-PL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D302" w14:textId="77777777" w:rsidR="006D2E7E" w:rsidRPr="006D2E7E" w:rsidRDefault="006D2E7E" w:rsidP="006D2E7E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D2E7E">
              <w:rPr>
                <w:rFonts w:ascii="Arial" w:eastAsia="Times New Roman" w:hAnsi="Arial" w:cs="Arial"/>
                <w:sz w:val="20"/>
                <w:lang w:eastAsia="pl-PL"/>
              </w:rPr>
              <w:t>powyżej 2,0% do 4,0%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BB3F1" w14:textId="77777777" w:rsidR="006D2E7E" w:rsidRPr="006D2E7E" w:rsidRDefault="006D2E7E" w:rsidP="006D2E7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D2E7E">
              <w:rPr>
                <w:rFonts w:ascii="Arial" w:eastAsia="Times New Roman" w:hAnsi="Arial" w:cs="Arial"/>
                <w:sz w:val="20"/>
                <w:lang w:eastAsia="pl-PL"/>
              </w:rPr>
              <w:t>4</w:t>
            </w: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F195" w14:textId="77777777" w:rsidR="006D2E7E" w:rsidRPr="006D2E7E" w:rsidRDefault="006D2E7E" w:rsidP="006D2E7E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8A1D" w14:textId="77777777" w:rsidR="006D2E7E" w:rsidRPr="006D2E7E" w:rsidRDefault="006D2E7E" w:rsidP="006D2E7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363636"/>
                <w:szCs w:val="22"/>
                <w:lang w:eastAsia="pl-PL"/>
              </w:rPr>
            </w:pPr>
          </w:p>
        </w:tc>
      </w:tr>
      <w:tr w:rsidR="006D2E7E" w:rsidRPr="006D2E7E" w14:paraId="6247A1E2" w14:textId="77777777" w:rsidTr="00BC68A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C0E1" w14:textId="77777777" w:rsidR="006D2E7E" w:rsidRPr="006D2E7E" w:rsidRDefault="006D2E7E" w:rsidP="006D2E7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D2E7E">
              <w:rPr>
                <w:rFonts w:ascii="Arial" w:eastAsia="Times New Roman" w:hAnsi="Arial" w:cs="Arial"/>
                <w:sz w:val="20"/>
                <w:lang w:eastAsia="pl-PL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5E3D" w14:textId="77777777" w:rsidR="006D2E7E" w:rsidRPr="006D2E7E" w:rsidRDefault="006D2E7E" w:rsidP="006D2E7E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D2E7E">
              <w:rPr>
                <w:rFonts w:ascii="Arial" w:eastAsia="Times New Roman" w:hAnsi="Arial" w:cs="Arial"/>
                <w:sz w:val="20"/>
                <w:lang w:eastAsia="pl-PL"/>
              </w:rPr>
              <w:t>powyżej 4,0%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C3695" w14:textId="77777777" w:rsidR="006D2E7E" w:rsidRPr="006D2E7E" w:rsidRDefault="006D2E7E" w:rsidP="006D2E7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D2E7E">
              <w:rPr>
                <w:rFonts w:ascii="Arial" w:eastAsia="Times New Roman" w:hAnsi="Arial" w:cs="Arial"/>
                <w:sz w:val="20"/>
                <w:lang w:eastAsia="pl-PL"/>
              </w:rPr>
              <w:t>5</w:t>
            </w: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C59A" w14:textId="77777777" w:rsidR="006D2E7E" w:rsidRPr="006D2E7E" w:rsidRDefault="006D2E7E" w:rsidP="006D2E7E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65C2" w14:textId="77777777" w:rsidR="006D2E7E" w:rsidRPr="006D2E7E" w:rsidRDefault="006D2E7E" w:rsidP="006D2E7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363636"/>
                <w:szCs w:val="22"/>
                <w:lang w:eastAsia="pl-PL"/>
              </w:rPr>
            </w:pPr>
          </w:p>
        </w:tc>
      </w:tr>
    </w:tbl>
    <w:p w14:paraId="711A5635" w14:textId="77777777" w:rsidR="005565FE" w:rsidRPr="00380C20" w:rsidRDefault="005565FE" w:rsidP="005565FE">
      <w:pPr>
        <w:pStyle w:val="Nagwek3"/>
        <w:rPr>
          <w:rFonts w:ascii="Times New Roman" w:hAnsi="Times New Roman" w:cs="Times New Roman"/>
          <w:b w:val="0"/>
          <w:color w:val="auto"/>
        </w:rPr>
      </w:pPr>
    </w:p>
    <w:p w14:paraId="1A6A19CE" w14:textId="11EE02A1" w:rsidR="005565FE" w:rsidRDefault="005C49F1" w:rsidP="000E569E">
      <w:pPr>
        <w:widowControl/>
        <w:suppressAutoHyphens w:val="0"/>
        <w:spacing w:line="360" w:lineRule="auto"/>
        <w:jc w:val="both"/>
      </w:pPr>
      <w:r w:rsidRPr="00E766E0">
        <w:t>Wskaźniki zy</w:t>
      </w:r>
      <w:r w:rsidR="007F2A92" w:rsidRPr="00E766E0">
        <w:t>sk</w:t>
      </w:r>
      <w:r w:rsidR="003C43AE">
        <w:t xml:space="preserve">owności </w:t>
      </w:r>
      <w:r w:rsidR="00DE0665">
        <w:t>kształtują się na poziomie bardzo dobry</w:t>
      </w:r>
      <w:r w:rsidR="00501DB2">
        <w:t>m</w:t>
      </w:r>
      <w:r w:rsidR="00DE0665">
        <w:t>, osiągając łącznie 1</w:t>
      </w:r>
      <w:r w:rsidR="00A35691">
        <w:t>3</w:t>
      </w:r>
      <w:r w:rsidR="00DE0665">
        <w:t xml:space="preserve"> punktów</w:t>
      </w:r>
      <w:r w:rsidR="00D60BEA">
        <w:t>, gdzie maksymalna liczba punktów w tym przedziale to 15.</w:t>
      </w:r>
      <w:r w:rsidR="00501DB2">
        <w:t xml:space="preserve"> W porównaniu do roku </w:t>
      </w:r>
      <w:r w:rsidR="00D60BEA">
        <w:t>202</w:t>
      </w:r>
      <w:r w:rsidR="00A35691">
        <w:t>2</w:t>
      </w:r>
      <w:r w:rsidR="00D60BEA">
        <w:t xml:space="preserve">, </w:t>
      </w:r>
      <w:r w:rsidR="00A35691">
        <w:t>zyskowność spadła o 1 punkt.</w:t>
      </w:r>
    </w:p>
    <w:p w14:paraId="736CB2B3" w14:textId="77777777" w:rsidR="003F45BD" w:rsidRDefault="003F45BD" w:rsidP="005565FE">
      <w:pPr>
        <w:pStyle w:val="Nagwek3"/>
        <w:numPr>
          <w:ilvl w:val="2"/>
          <w:numId w:val="2"/>
        </w:numPr>
        <w:rPr>
          <w:rFonts w:ascii="Times New Roman" w:hAnsi="Times New Roman" w:cs="Times New Roman"/>
          <w:b w:val="0"/>
          <w:color w:val="auto"/>
        </w:rPr>
      </w:pPr>
      <w:bookmarkStart w:id="4" w:name="_Toc104448284"/>
      <w:r w:rsidRPr="005565FE">
        <w:rPr>
          <w:rFonts w:ascii="Times New Roman" w:hAnsi="Times New Roman" w:cs="Times New Roman"/>
          <w:b w:val="0"/>
          <w:color w:val="auto"/>
        </w:rPr>
        <w:t>Wskaźniki płynności</w:t>
      </w:r>
      <w:bookmarkEnd w:id="4"/>
    </w:p>
    <w:p w14:paraId="2C106614" w14:textId="77777777" w:rsidR="005565FE" w:rsidRDefault="005565FE" w:rsidP="005565FE"/>
    <w:p w14:paraId="0C28DA38" w14:textId="77777777" w:rsidR="005565FE" w:rsidRPr="00586DEF" w:rsidRDefault="00654E7F" w:rsidP="00416069">
      <w:pPr>
        <w:spacing w:line="360" w:lineRule="auto"/>
        <w:jc w:val="both"/>
      </w:pPr>
      <w:r w:rsidRPr="00586DEF">
        <w:t>Wskaźniki płynności określają zdolność podmiotu do terminowego regulowania zaciągniętych zobowiązań krótkoterminowych. Jeżeli poziom wskaźników obniża się, to występuje ryzyko utraty przez podmiot zdolności do terminowego regulowania zobowiązań. W przypadku gdy wskaźniki są zbyt wysokie, może to świadczyć o nieefektywnym gospodarowaniu posiadanymi środkami obrotowymi, takimi jak zapasy, należności lub środki finansowe.</w:t>
      </w:r>
    </w:p>
    <w:p w14:paraId="16485EBA" w14:textId="77777777" w:rsidR="00654E7F" w:rsidRPr="00586DEF" w:rsidRDefault="00654E7F" w:rsidP="00416069">
      <w:pPr>
        <w:spacing w:before="120" w:line="360" w:lineRule="auto"/>
        <w:jc w:val="both"/>
      </w:pPr>
      <w:r w:rsidRPr="00586DEF">
        <w:t>Wskaźnik bieżącej płynności określa zdolność podmiotu do spłaty zobowiązań krótkoterminowych poprzez upłynnienie wszystkich środków obrotowych.</w:t>
      </w:r>
    </w:p>
    <w:p w14:paraId="7166CAE0" w14:textId="77777777" w:rsidR="00654E7F" w:rsidRPr="00586DEF" w:rsidRDefault="00654E7F" w:rsidP="00416069">
      <w:pPr>
        <w:spacing w:before="120" w:line="360" w:lineRule="auto"/>
        <w:jc w:val="both"/>
      </w:pPr>
      <w:r w:rsidRPr="00586DEF">
        <w:t>Wskaźnik szybkiej płynności określa zdolność podmiotu do spłacania zobowiązań krótkoterminowych najbardziej płynnymi aktywami, tj. krótkoterminowymi należnościami</w:t>
      </w:r>
    </w:p>
    <w:p w14:paraId="0F81F441" w14:textId="77777777" w:rsidR="00654E7F" w:rsidRPr="00586DEF" w:rsidRDefault="00654E7F" w:rsidP="00416069">
      <w:pPr>
        <w:spacing w:line="360" w:lineRule="auto"/>
        <w:jc w:val="both"/>
      </w:pPr>
      <w:r w:rsidRPr="00586DEF">
        <w:t>i aktywami finansowymi.</w:t>
      </w:r>
    </w:p>
    <w:p w14:paraId="07842547" w14:textId="77777777" w:rsidR="004C55C6" w:rsidRDefault="004C55C6" w:rsidP="004C55C6">
      <w:pPr>
        <w:jc w:val="both"/>
        <w:rPr>
          <w:rFonts w:cs="Arial"/>
          <w:bCs/>
          <w:szCs w:val="24"/>
        </w:rPr>
      </w:pPr>
    </w:p>
    <w:p w14:paraId="7396C917" w14:textId="77777777" w:rsidR="00583878" w:rsidRDefault="00583878" w:rsidP="004C55C6">
      <w:pPr>
        <w:jc w:val="both"/>
        <w:rPr>
          <w:rFonts w:cs="Arial"/>
          <w:bCs/>
          <w:szCs w:val="24"/>
        </w:rPr>
      </w:pPr>
    </w:p>
    <w:tbl>
      <w:tblPr>
        <w:tblW w:w="937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800"/>
        <w:gridCol w:w="2134"/>
        <w:gridCol w:w="1418"/>
        <w:gridCol w:w="1559"/>
      </w:tblGrid>
      <w:tr w:rsidR="009E4E9D" w:rsidRPr="009E4E9D" w14:paraId="03541CDB" w14:textId="77777777" w:rsidTr="00BC68A0">
        <w:trPr>
          <w:trHeight w:val="255"/>
          <w:tblHeader/>
        </w:trPr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14:paraId="7AAD6F50" w14:textId="77777777" w:rsidR="009E4E9D" w:rsidRPr="009E4E9D" w:rsidRDefault="009E4E9D" w:rsidP="009E4E9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E4E9D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WSKAŹNIKI PŁYNNOŚCI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14:paraId="6A9448EB" w14:textId="77777777" w:rsidR="009E4E9D" w:rsidRPr="009E4E9D" w:rsidRDefault="009E4E9D" w:rsidP="009E4E9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E4E9D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WARTOŚĆ WSKAŹNIKA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14:paraId="55BE5F1F" w14:textId="77777777" w:rsidR="009E4E9D" w:rsidRPr="009E4E9D" w:rsidRDefault="009E4E9D" w:rsidP="009E4E9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E4E9D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OCENA PODMIOTU</w:t>
            </w:r>
          </w:p>
        </w:tc>
      </w:tr>
      <w:tr w:rsidR="009E4E9D" w:rsidRPr="009E4E9D" w14:paraId="26C14AF4" w14:textId="77777777" w:rsidTr="00BC68A0">
        <w:trPr>
          <w:trHeight w:val="750"/>
        </w:trPr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vAlign w:val="center"/>
            <w:hideMark/>
          </w:tcPr>
          <w:p w14:paraId="4CE3A2F3" w14:textId="77777777" w:rsidR="009E4E9D" w:rsidRPr="009E4E9D" w:rsidRDefault="009E4E9D" w:rsidP="009E4E9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9E4E9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WSKAŹNIK BIEŻĄCEJ PŁYNNOŚCI                                                                                                                </w:t>
            </w:r>
            <w:r w:rsidRPr="009E4E9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                                            (Aktywa obrotowe - należności krótkoterminowe z tytułu dostaw i usług, o okresie spłaty powyżej 12 miesięcy - krótkoterminowe rozliczenia międzyokresowe (czynne)) / (Zobowiązania krótkoterminowe - zobowiązania z tytułu dostaw i usług, o okresie wymagalności powyżej </w:t>
            </w:r>
            <w:r w:rsidR="00595BC4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12 miesięcy + rezerwy na zobowią</w:t>
            </w:r>
            <w:r w:rsidRPr="009E4E9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zania krótkoterminowe)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vAlign w:val="center"/>
            <w:hideMark/>
          </w:tcPr>
          <w:p w14:paraId="53EF1042" w14:textId="77777777" w:rsidR="009E4E9D" w:rsidRPr="009E4E9D" w:rsidRDefault="009E4E9D" w:rsidP="009E4E9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E4E9D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14:paraId="154F8580" w14:textId="77777777" w:rsidR="009E4E9D" w:rsidRPr="009E4E9D" w:rsidRDefault="009E4E9D" w:rsidP="009E4E9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63636"/>
                <w:sz w:val="26"/>
                <w:szCs w:val="26"/>
                <w:lang w:eastAsia="pl-PL"/>
              </w:rPr>
            </w:pPr>
            <w:r w:rsidRPr="009E4E9D">
              <w:rPr>
                <w:rFonts w:ascii="Arial" w:eastAsia="Times New Roman" w:hAnsi="Arial" w:cs="Arial"/>
                <w:b/>
                <w:bCs/>
                <w:color w:val="363636"/>
                <w:sz w:val="26"/>
                <w:szCs w:val="26"/>
                <w:lang w:eastAsia="pl-PL"/>
              </w:rPr>
              <w:t> </w:t>
            </w:r>
          </w:p>
        </w:tc>
      </w:tr>
      <w:tr w:rsidR="009E4E9D" w:rsidRPr="009E4E9D" w14:paraId="7BEE5415" w14:textId="77777777" w:rsidTr="00BC68A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491B" w14:textId="77777777" w:rsidR="009E4E9D" w:rsidRPr="009E4E9D" w:rsidRDefault="00601FA9" w:rsidP="009E4E9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Lp</w:t>
            </w:r>
            <w:r w:rsidRPr="006D2E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822D" w14:textId="77777777" w:rsidR="009E4E9D" w:rsidRPr="009E4E9D" w:rsidRDefault="009E4E9D" w:rsidP="009E4E9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E4E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PRZEDZIAŁY WARTOŚCI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CB5E" w14:textId="77777777" w:rsidR="009E4E9D" w:rsidRPr="009E4E9D" w:rsidRDefault="009E4E9D" w:rsidP="009E4E9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E4E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OCENA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B8E2" w14:textId="7AEEC540" w:rsidR="009E4E9D" w:rsidRPr="009E4E9D" w:rsidRDefault="009E4E9D" w:rsidP="009E4E9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E4E9D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A35691">
              <w:rPr>
                <w:rFonts w:ascii="Arial" w:eastAsia="Times New Roman" w:hAnsi="Arial" w:cs="Arial"/>
                <w:sz w:val="20"/>
                <w:lang w:eastAsia="pl-PL"/>
              </w:rPr>
              <w:t>1,14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6083" w14:textId="1447F729" w:rsidR="009E4E9D" w:rsidRPr="009E4E9D" w:rsidRDefault="009E4E9D" w:rsidP="009E4E9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63636"/>
                <w:szCs w:val="22"/>
                <w:lang w:eastAsia="pl-PL"/>
              </w:rPr>
            </w:pPr>
            <w:r w:rsidRPr="009E4E9D">
              <w:rPr>
                <w:rFonts w:ascii="Arial" w:eastAsia="Times New Roman" w:hAnsi="Arial" w:cs="Arial"/>
                <w:b/>
                <w:bCs/>
                <w:color w:val="363636"/>
                <w:sz w:val="22"/>
                <w:szCs w:val="22"/>
                <w:lang w:eastAsia="pl-PL"/>
              </w:rPr>
              <w:t> </w:t>
            </w:r>
            <w:r w:rsidR="00A35691">
              <w:rPr>
                <w:rFonts w:ascii="Arial" w:eastAsia="Times New Roman" w:hAnsi="Arial" w:cs="Arial"/>
                <w:b/>
                <w:bCs/>
                <w:color w:val="363636"/>
                <w:sz w:val="22"/>
                <w:szCs w:val="22"/>
                <w:lang w:eastAsia="pl-PL"/>
              </w:rPr>
              <w:t>8</w:t>
            </w:r>
          </w:p>
        </w:tc>
      </w:tr>
      <w:tr w:rsidR="009E4E9D" w:rsidRPr="009E4E9D" w14:paraId="62AD101F" w14:textId="77777777" w:rsidTr="00BC68A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A950" w14:textId="77777777" w:rsidR="009E4E9D" w:rsidRPr="009E4E9D" w:rsidRDefault="009E4E9D" w:rsidP="009E4E9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E4E9D">
              <w:rPr>
                <w:rFonts w:ascii="Arial" w:eastAsia="Times New Roman" w:hAnsi="Arial" w:cs="Arial"/>
                <w:sz w:val="20"/>
                <w:lang w:eastAsia="pl-PL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02F5" w14:textId="77777777" w:rsidR="009E4E9D" w:rsidRPr="009E4E9D" w:rsidRDefault="009E4E9D" w:rsidP="009E4E9D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E4E9D">
              <w:rPr>
                <w:rFonts w:ascii="Arial" w:eastAsia="Times New Roman" w:hAnsi="Arial" w:cs="Arial"/>
                <w:sz w:val="20"/>
                <w:lang w:eastAsia="pl-PL"/>
              </w:rPr>
              <w:t>poniżej 0,60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640E1" w14:textId="77777777" w:rsidR="009E4E9D" w:rsidRPr="009E4E9D" w:rsidRDefault="009E4E9D" w:rsidP="009E4E9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E4E9D">
              <w:rPr>
                <w:rFonts w:ascii="Arial" w:eastAsia="Times New Roman" w:hAnsi="Arial" w:cs="Arial"/>
                <w:sz w:val="20"/>
                <w:lang w:eastAsia="pl-PL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CECF" w14:textId="77777777" w:rsidR="009E4E9D" w:rsidRPr="009E4E9D" w:rsidRDefault="009E4E9D" w:rsidP="009E4E9D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913A" w14:textId="77777777" w:rsidR="009E4E9D" w:rsidRPr="009E4E9D" w:rsidRDefault="009E4E9D" w:rsidP="009E4E9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363636"/>
                <w:szCs w:val="22"/>
                <w:lang w:eastAsia="pl-PL"/>
              </w:rPr>
            </w:pPr>
          </w:p>
        </w:tc>
      </w:tr>
      <w:tr w:rsidR="009E4E9D" w:rsidRPr="009E4E9D" w14:paraId="6E4DF370" w14:textId="77777777" w:rsidTr="00BC68A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5BFE" w14:textId="77777777" w:rsidR="009E4E9D" w:rsidRPr="009E4E9D" w:rsidRDefault="009E4E9D" w:rsidP="009E4E9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E4E9D">
              <w:rPr>
                <w:rFonts w:ascii="Arial" w:eastAsia="Times New Roman" w:hAnsi="Arial" w:cs="Arial"/>
                <w:sz w:val="20"/>
                <w:lang w:eastAsia="pl-PL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DF56" w14:textId="77777777" w:rsidR="009E4E9D" w:rsidRPr="009E4E9D" w:rsidRDefault="009E4E9D" w:rsidP="009E4E9D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E4E9D">
              <w:rPr>
                <w:rFonts w:ascii="Arial" w:eastAsia="Times New Roman" w:hAnsi="Arial" w:cs="Arial"/>
                <w:sz w:val="20"/>
                <w:lang w:eastAsia="pl-PL"/>
              </w:rPr>
              <w:t>od 0,60 do 1,00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5CBB2" w14:textId="77777777" w:rsidR="009E4E9D" w:rsidRPr="009E4E9D" w:rsidRDefault="009E4E9D" w:rsidP="009E4E9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E4E9D">
              <w:rPr>
                <w:rFonts w:ascii="Arial" w:eastAsia="Times New Roman" w:hAnsi="Arial" w:cs="Arial"/>
                <w:sz w:val="20"/>
                <w:lang w:eastAsia="pl-PL"/>
              </w:rPr>
              <w:t>4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4341" w14:textId="77777777" w:rsidR="009E4E9D" w:rsidRPr="009E4E9D" w:rsidRDefault="009E4E9D" w:rsidP="009E4E9D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FB6A" w14:textId="77777777" w:rsidR="009E4E9D" w:rsidRPr="009E4E9D" w:rsidRDefault="009E4E9D" w:rsidP="009E4E9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363636"/>
                <w:szCs w:val="22"/>
                <w:lang w:eastAsia="pl-PL"/>
              </w:rPr>
            </w:pPr>
          </w:p>
        </w:tc>
      </w:tr>
      <w:tr w:rsidR="009E4E9D" w:rsidRPr="009E4E9D" w14:paraId="6BE7135B" w14:textId="77777777" w:rsidTr="00BC68A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F909" w14:textId="77777777" w:rsidR="009E4E9D" w:rsidRPr="009E4E9D" w:rsidRDefault="009E4E9D" w:rsidP="009E4E9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E4E9D">
              <w:rPr>
                <w:rFonts w:ascii="Arial" w:eastAsia="Times New Roman" w:hAnsi="Arial" w:cs="Arial"/>
                <w:sz w:val="20"/>
                <w:lang w:eastAsia="pl-PL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B718" w14:textId="77777777" w:rsidR="009E4E9D" w:rsidRPr="009E4E9D" w:rsidRDefault="009E4E9D" w:rsidP="009E4E9D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E4E9D">
              <w:rPr>
                <w:rFonts w:ascii="Arial" w:eastAsia="Times New Roman" w:hAnsi="Arial" w:cs="Arial"/>
                <w:sz w:val="20"/>
                <w:lang w:eastAsia="pl-PL"/>
              </w:rPr>
              <w:t>powyżej 1,00 do 1,50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2F1FA" w14:textId="77777777" w:rsidR="009E4E9D" w:rsidRPr="009E4E9D" w:rsidRDefault="009E4E9D" w:rsidP="009E4E9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E4E9D">
              <w:rPr>
                <w:rFonts w:ascii="Arial" w:eastAsia="Times New Roman" w:hAnsi="Arial" w:cs="Arial"/>
                <w:sz w:val="20"/>
                <w:lang w:eastAsia="pl-PL"/>
              </w:rPr>
              <w:t>8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F0FE" w14:textId="77777777" w:rsidR="009E4E9D" w:rsidRPr="009E4E9D" w:rsidRDefault="009E4E9D" w:rsidP="009E4E9D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F0CB3" w14:textId="77777777" w:rsidR="009E4E9D" w:rsidRPr="009E4E9D" w:rsidRDefault="009E4E9D" w:rsidP="009E4E9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363636"/>
                <w:szCs w:val="22"/>
                <w:lang w:eastAsia="pl-PL"/>
              </w:rPr>
            </w:pPr>
          </w:p>
        </w:tc>
      </w:tr>
      <w:tr w:rsidR="009E4E9D" w:rsidRPr="009E4E9D" w14:paraId="4C8AEA28" w14:textId="77777777" w:rsidTr="00BC68A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6C38" w14:textId="77777777" w:rsidR="009E4E9D" w:rsidRPr="009E4E9D" w:rsidRDefault="009E4E9D" w:rsidP="009E4E9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E4E9D">
              <w:rPr>
                <w:rFonts w:ascii="Arial" w:eastAsia="Times New Roman" w:hAnsi="Arial" w:cs="Arial"/>
                <w:sz w:val="20"/>
                <w:lang w:eastAsia="pl-PL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5205" w14:textId="77777777" w:rsidR="009E4E9D" w:rsidRPr="009E4E9D" w:rsidRDefault="009E4E9D" w:rsidP="009E4E9D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E4E9D">
              <w:rPr>
                <w:rFonts w:ascii="Arial" w:eastAsia="Times New Roman" w:hAnsi="Arial" w:cs="Arial"/>
                <w:sz w:val="20"/>
                <w:lang w:eastAsia="pl-PL"/>
              </w:rPr>
              <w:t>powyżej 1,50 do 3,00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97410" w14:textId="77777777" w:rsidR="009E4E9D" w:rsidRPr="009E4E9D" w:rsidRDefault="009E4E9D" w:rsidP="009E4E9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E4E9D">
              <w:rPr>
                <w:rFonts w:ascii="Arial" w:eastAsia="Times New Roman" w:hAnsi="Arial" w:cs="Arial"/>
                <w:sz w:val="20"/>
                <w:lang w:eastAsia="pl-PL"/>
              </w:rPr>
              <w:t>12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67962" w14:textId="77777777" w:rsidR="009E4E9D" w:rsidRPr="009E4E9D" w:rsidRDefault="009E4E9D" w:rsidP="009E4E9D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B69E8" w14:textId="77777777" w:rsidR="009E4E9D" w:rsidRPr="009E4E9D" w:rsidRDefault="009E4E9D" w:rsidP="009E4E9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363636"/>
                <w:szCs w:val="22"/>
                <w:lang w:eastAsia="pl-PL"/>
              </w:rPr>
            </w:pPr>
          </w:p>
        </w:tc>
      </w:tr>
      <w:tr w:rsidR="009E4E9D" w:rsidRPr="009E4E9D" w14:paraId="6285C0A2" w14:textId="77777777" w:rsidTr="00BC68A0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EA8F" w14:textId="77777777" w:rsidR="009E4E9D" w:rsidRPr="009E4E9D" w:rsidRDefault="009E4E9D" w:rsidP="009E4E9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E4E9D">
              <w:rPr>
                <w:rFonts w:ascii="Arial" w:eastAsia="Times New Roman" w:hAnsi="Arial" w:cs="Arial"/>
                <w:sz w:val="20"/>
                <w:lang w:eastAsia="pl-PL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4243F" w14:textId="77777777" w:rsidR="009E4E9D" w:rsidRPr="009E4E9D" w:rsidRDefault="009E4E9D" w:rsidP="009E4E9D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E4E9D">
              <w:rPr>
                <w:rFonts w:ascii="Arial" w:eastAsia="Times New Roman" w:hAnsi="Arial" w:cs="Arial"/>
                <w:sz w:val="20"/>
                <w:lang w:eastAsia="pl-PL"/>
              </w:rPr>
              <w:t>powyżej 3,00 lub jeżeli zobowiązania krótkoterminowe = 0 zł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F7CD9" w14:textId="77777777" w:rsidR="009E4E9D" w:rsidRPr="009E4E9D" w:rsidRDefault="009E4E9D" w:rsidP="009E4E9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E4E9D">
              <w:rPr>
                <w:rFonts w:ascii="Arial" w:eastAsia="Times New Roman" w:hAnsi="Arial" w:cs="Arial"/>
                <w:sz w:val="20"/>
                <w:lang w:eastAsia="pl-PL"/>
              </w:rPr>
              <w:t>10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56354" w14:textId="77777777" w:rsidR="009E4E9D" w:rsidRPr="009E4E9D" w:rsidRDefault="009E4E9D" w:rsidP="009E4E9D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66D4" w14:textId="77777777" w:rsidR="009E4E9D" w:rsidRPr="009E4E9D" w:rsidRDefault="009E4E9D" w:rsidP="009E4E9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363636"/>
                <w:szCs w:val="22"/>
                <w:lang w:eastAsia="pl-PL"/>
              </w:rPr>
            </w:pPr>
          </w:p>
        </w:tc>
      </w:tr>
      <w:tr w:rsidR="009E4E9D" w:rsidRPr="009E4E9D" w14:paraId="420CF41C" w14:textId="77777777" w:rsidTr="00BC68A0">
        <w:trPr>
          <w:trHeight w:val="720"/>
        </w:trPr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vAlign w:val="center"/>
            <w:hideMark/>
          </w:tcPr>
          <w:p w14:paraId="403BFD2A" w14:textId="77777777" w:rsidR="009E4E9D" w:rsidRPr="009E4E9D" w:rsidRDefault="009E4E9D" w:rsidP="009E4E9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9E4E9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WSKAŹNIK SZYBKIEJ PŁYNNOŚCI</w:t>
            </w:r>
            <w:r w:rsidRPr="009E4E9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(Aktywa obrotowe - należności krótkoterminowe z tytułu dostaw i usług, o okresie spłaty powyżej 12 miesięcy - krótkoterminowe rozliczenia międzyokresowe (czynne) - zapasy) / (Zobowiązania krótkoterminowe - zobowiązania z tytułu dostaw i usług, o okresie wymagalności powyżej </w:t>
            </w:r>
            <w:r w:rsidR="00595BC4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12 miesięcy + rezerwy na zobowią</w:t>
            </w:r>
            <w:r w:rsidRPr="009E4E9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zania krótkoterminowe)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vAlign w:val="center"/>
            <w:hideMark/>
          </w:tcPr>
          <w:p w14:paraId="586C06D4" w14:textId="77777777" w:rsidR="009E4E9D" w:rsidRPr="009E4E9D" w:rsidRDefault="009E4E9D" w:rsidP="009E4E9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E4E9D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14:paraId="434ED34C" w14:textId="77777777" w:rsidR="009E4E9D" w:rsidRPr="009E4E9D" w:rsidRDefault="009E4E9D" w:rsidP="009E4E9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63636"/>
                <w:sz w:val="26"/>
                <w:szCs w:val="26"/>
                <w:lang w:eastAsia="pl-PL"/>
              </w:rPr>
            </w:pPr>
            <w:r w:rsidRPr="009E4E9D">
              <w:rPr>
                <w:rFonts w:ascii="Arial" w:eastAsia="Times New Roman" w:hAnsi="Arial" w:cs="Arial"/>
                <w:b/>
                <w:bCs/>
                <w:color w:val="363636"/>
                <w:sz w:val="26"/>
                <w:szCs w:val="26"/>
                <w:lang w:eastAsia="pl-PL"/>
              </w:rPr>
              <w:t> </w:t>
            </w:r>
          </w:p>
        </w:tc>
      </w:tr>
      <w:tr w:rsidR="009E4E9D" w:rsidRPr="009E4E9D" w14:paraId="56A911A6" w14:textId="77777777" w:rsidTr="00BC68A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A66D" w14:textId="77777777" w:rsidR="009E4E9D" w:rsidRPr="009E4E9D" w:rsidRDefault="00601FA9" w:rsidP="009E4E9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lastRenderedPageBreak/>
              <w:t>Lp</w:t>
            </w:r>
            <w:r w:rsidRPr="006D2E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4550" w14:textId="77777777" w:rsidR="009E4E9D" w:rsidRPr="009E4E9D" w:rsidRDefault="009E4E9D" w:rsidP="009E4E9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E4E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PRZEDZIAŁY WARTOŚCI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FE043A" w14:textId="77777777" w:rsidR="009E4E9D" w:rsidRPr="009E4E9D" w:rsidRDefault="009E4E9D" w:rsidP="009E4E9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E4E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OCENA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E9C8" w14:textId="786C135B" w:rsidR="009E4E9D" w:rsidRPr="009E4E9D" w:rsidRDefault="009E4E9D" w:rsidP="009E4E9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E4E9D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A35691">
              <w:rPr>
                <w:rFonts w:ascii="Arial" w:eastAsia="Times New Roman" w:hAnsi="Arial" w:cs="Arial"/>
                <w:sz w:val="20"/>
                <w:lang w:eastAsia="pl-PL"/>
              </w:rPr>
              <w:t>1,14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66CA" w14:textId="4498184E" w:rsidR="009E4E9D" w:rsidRPr="009E4E9D" w:rsidRDefault="009E4E9D" w:rsidP="009E4E9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63636"/>
                <w:szCs w:val="22"/>
                <w:lang w:eastAsia="pl-PL"/>
              </w:rPr>
            </w:pPr>
            <w:r w:rsidRPr="009E4E9D">
              <w:rPr>
                <w:rFonts w:ascii="Arial" w:eastAsia="Times New Roman" w:hAnsi="Arial" w:cs="Arial"/>
                <w:b/>
                <w:bCs/>
                <w:color w:val="363636"/>
                <w:sz w:val="22"/>
                <w:szCs w:val="22"/>
                <w:lang w:eastAsia="pl-PL"/>
              </w:rPr>
              <w:t> </w:t>
            </w:r>
            <w:r w:rsidR="00A35691">
              <w:rPr>
                <w:rFonts w:ascii="Arial" w:eastAsia="Times New Roman" w:hAnsi="Arial" w:cs="Arial"/>
                <w:b/>
                <w:bCs/>
                <w:color w:val="363636"/>
                <w:sz w:val="22"/>
                <w:szCs w:val="22"/>
                <w:lang w:eastAsia="pl-PL"/>
              </w:rPr>
              <w:t>13</w:t>
            </w:r>
          </w:p>
        </w:tc>
      </w:tr>
      <w:tr w:rsidR="009E4E9D" w:rsidRPr="009E4E9D" w14:paraId="13DF89FA" w14:textId="77777777" w:rsidTr="00BC68A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E4F9" w14:textId="77777777" w:rsidR="009E4E9D" w:rsidRPr="009E4E9D" w:rsidRDefault="009E4E9D" w:rsidP="009E4E9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E4E9D">
              <w:rPr>
                <w:rFonts w:ascii="Arial" w:eastAsia="Times New Roman" w:hAnsi="Arial" w:cs="Arial"/>
                <w:sz w:val="20"/>
                <w:lang w:eastAsia="pl-PL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EBDE" w14:textId="77777777" w:rsidR="009E4E9D" w:rsidRPr="009E4E9D" w:rsidRDefault="009E4E9D" w:rsidP="009E4E9D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E4E9D">
              <w:rPr>
                <w:rFonts w:ascii="Arial" w:eastAsia="Times New Roman" w:hAnsi="Arial" w:cs="Arial"/>
                <w:sz w:val="20"/>
                <w:lang w:eastAsia="pl-PL"/>
              </w:rPr>
              <w:t>poniżej 0,50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75B18" w14:textId="77777777" w:rsidR="009E4E9D" w:rsidRPr="009E4E9D" w:rsidRDefault="009E4E9D" w:rsidP="009E4E9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E4E9D">
              <w:rPr>
                <w:rFonts w:ascii="Arial" w:eastAsia="Times New Roman" w:hAnsi="Arial" w:cs="Arial"/>
                <w:sz w:val="20"/>
                <w:lang w:eastAsia="pl-PL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E9172" w14:textId="77777777" w:rsidR="009E4E9D" w:rsidRPr="009E4E9D" w:rsidRDefault="009E4E9D" w:rsidP="009E4E9D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8133" w14:textId="77777777" w:rsidR="009E4E9D" w:rsidRPr="009E4E9D" w:rsidRDefault="009E4E9D" w:rsidP="009E4E9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363636"/>
                <w:szCs w:val="22"/>
                <w:lang w:eastAsia="pl-PL"/>
              </w:rPr>
            </w:pPr>
          </w:p>
        </w:tc>
      </w:tr>
      <w:tr w:rsidR="009E4E9D" w:rsidRPr="009E4E9D" w14:paraId="09F773D7" w14:textId="77777777" w:rsidTr="00BC68A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E675" w14:textId="77777777" w:rsidR="009E4E9D" w:rsidRPr="009E4E9D" w:rsidRDefault="009E4E9D" w:rsidP="009E4E9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E4E9D">
              <w:rPr>
                <w:rFonts w:ascii="Arial" w:eastAsia="Times New Roman" w:hAnsi="Arial" w:cs="Arial"/>
                <w:sz w:val="20"/>
                <w:lang w:eastAsia="pl-PL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D78B" w14:textId="77777777" w:rsidR="009E4E9D" w:rsidRPr="009E4E9D" w:rsidRDefault="009E4E9D" w:rsidP="009E4E9D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E4E9D">
              <w:rPr>
                <w:rFonts w:ascii="Arial" w:eastAsia="Times New Roman" w:hAnsi="Arial" w:cs="Arial"/>
                <w:sz w:val="20"/>
                <w:lang w:eastAsia="pl-PL"/>
              </w:rPr>
              <w:t>od 0,50 do 1,00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6BC73" w14:textId="77777777" w:rsidR="009E4E9D" w:rsidRPr="009E4E9D" w:rsidRDefault="009E4E9D" w:rsidP="009E4E9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E4E9D">
              <w:rPr>
                <w:rFonts w:ascii="Arial" w:eastAsia="Times New Roman" w:hAnsi="Arial" w:cs="Arial"/>
                <w:sz w:val="20"/>
                <w:lang w:eastAsia="pl-PL"/>
              </w:rPr>
              <w:t>8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86729" w14:textId="77777777" w:rsidR="009E4E9D" w:rsidRPr="009E4E9D" w:rsidRDefault="009E4E9D" w:rsidP="009E4E9D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7280" w14:textId="77777777" w:rsidR="009E4E9D" w:rsidRPr="009E4E9D" w:rsidRDefault="009E4E9D" w:rsidP="009E4E9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363636"/>
                <w:szCs w:val="22"/>
                <w:lang w:eastAsia="pl-PL"/>
              </w:rPr>
            </w:pPr>
          </w:p>
        </w:tc>
      </w:tr>
      <w:tr w:rsidR="009E4E9D" w:rsidRPr="009E4E9D" w14:paraId="7C4B7FDE" w14:textId="77777777" w:rsidTr="00BC68A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C2B0" w14:textId="77777777" w:rsidR="009E4E9D" w:rsidRPr="009E4E9D" w:rsidRDefault="009E4E9D" w:rsidP="009E4E9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E4E9D">
              <w:rPr>
                <w:rFonts w:ascii="Arial" w:eastAsia="Times New Roman" w:hAnsi="Arial" w:cs="Arial"/>
                <w:sz w:val="20"/>
                <w:lang w:eastAsia="pl-PL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D3FE" w14:textId="77777777" w:rsidR="009E4E9D" w:rsidRPr="009E4E9D" w:rsidRDefault="009E4E9D" w:rsidP="009E4E9D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E4E9D">
              <w:rPr>
                <w:rFonts w:ascii="Arial" w:eastAsia="Times New Roman" w:hAnsi="Arial" w:cs="Arial"/>
                <w:sz w:val="20"/>
                <w:lang w:eastAsia="pl-PL"/>
              </w:rPr>
              <w:t>powyżej 1,00 do 2,50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1B36D" w14:textId="77777777" w:rsidR="009E4E9D" w:rsidRPr="009E4E9D" w:rsidRDefault="009E4E9D" w:rsidP="009E4E9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E4E9D">
              <w:rPr>
                <w:rFonts w:ascii="Arial" w:eastAsia="Times New Roman" w:hAnsi="Arial" w:cs="Arial"/>
                <w:sz w:val="20"/>
                <w:lang w:eastAsia="pl-PL"/>
              </w:rPr>
              <w:t>13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D5C0C" w14:textId="77777777" w:rsidR="009E4E9D" w:rsidRPr="009E4E9D" w:rsidRDefault="009E4E9D" w:rsidP="009E4E9D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3784" w14:textId="77777777" w:rsidR="009E4E9D" w:rsidRPr="009E4E9D" w:rsidRDefault="009E4E9D" w:rsidP="009E4E9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363636"/>
                <w:szCs w:val="22"/>
                <w:lang w:eastAsia="pl-PL"/>
              </w:rPr>
            </w:pPr>
          </w:p>
        </w:tc>
      </w:tr>
      <w:tr w:rsidR="009E4E9D" w:rsidRPr="009E4E9D" w14:paraId="545A468B" w14:textId="77777777" w:rsidTr="00BC68A0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5B56" w14:textId="77777777" w:rsidR="009E4E9D" w:rsidRPr="009E4E9D" w:rsidRDefault="009E4E9D" w:rsidP="009E4E9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E4E9D">
              <w:rPr>
                <w:rFonts w:ascii="Arial" w:eastAsia="Times New Roman" w:hAnsi="Arial" w:cs="Arial"/>
                <w:sz w:val="20"/>
                <w:lang w:eastAsia="pl-PL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DDD76" w14:textId="77777777" w:rsidR="009E4E9D" w:rsidRPr="009E4E9D" w:rsidRDefault="009E4E9D" w:rsidP="009E4E9D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E4E9D">
              <w:rPr>
                <w:rFonts w:ascii="Arial" w:eastAsia="Times New Roman" w:hAnsi="Arial" w:cs="Arial"/>
                <w:sz w:val="20"/>
                <w:lang w:eastAsia="pl-PL"/>
              </w:rPr>
              <w:t>powyżej 2,50 lub jeżeli zobowiązania krótkoterminowe = 0 zł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5F560" w14:textId="77777777" w:rsidR="009E4E9D" w:rsidRPr="009E4E9D" w:rsidRDefault="009E4E9D" w:rsidP="009E4E9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E4E9D">
              <w:rPr>
                <w:rFonts w:ascii="Arial" w:eastAsia="Times New Roman" w:hAnsi="Arial" w:cs="Arial"/>
                <w:sz w:val="20"/>
                <w:lang w:eastAsia="pl-PL"/>
              </w:rPr>
              <w:t>10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320F2" w14:textId="77777777" w:rsidR="009E4E9D" w:rsidRPr="009E4E9D" w:rsidRDefault="009E4E9D" w:rsidP="009E4E9D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398D0" w14:textId="77777777" w:rsidR="009E4E9D" w:rsidRPr="009E4E9D" w:rsidRDefault="009E4E9D" w:rsidP="009E4E9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363636"/>
                <w:szCs w:val="22"/>
                <w:lang w:eastAsia="pl-PL"/>
              </w:rPr>
            </w:pPr>
          </w:p>
        </w:tc>
      </w:tr>
    </w:tbl>
    <w:p w14:paraId="26511A50" w14:textId="77777777" w:rsidR="00275BD7" w:rsidRDefault="00275BD7" w:rsidP="00275BD7">
      <w:pPr>
        <w:pStyle w:val="Nagwek3"/>
        <w:ind w:left="1800"/>
        <w:rPr>
          <w:rFonts w:ascii="Times New Roman" w:hAnsi="Times New Roman" w:cs="Times New Roman"/>
          <w:b w:val="0"/>
          <w:color w:val="auto"/>
        </w:rPr>
      </w:pPr>
    </w:p>
    <w:p w14:paraId="106B4469" w14:textId="575957D7" w:rsidR="00275BD7" w:rsidRPr="00501DB2" w:rsidRDefault="003C43AE" w:rsidP="00800F99">
      <w:pPr>
        <w:widowControl/>
        <w:suppressAutoHyphens w:val="0"/>
        <w:spacing w:line="360" w:lineRule="auto"/>
        <w:jc w:val="both"/>
      </w:pPr>
      <w:r>
        <w:t>Wskaźniki płynności za rok 20</w:t>
      </w:r>
      <w:r w:rsidR="002D4D9D">
        <w:t>2</w:t>
      </w:r>
      <w:r w:rsidR="00960FDE">
        <w:t>3</w:t>
      </w:r>
      <w:r w:rsidR="00DE507F" w:rsidRPr="00D55DD4">
        <w:t xml:space="preserve"> ukształtowały się</w:t>
      </w:r>
      <w:r w:rsidR="00BA31FE" w:rsidRPr="00D55DD4">
        <w:t xml:space="preserve"> na</w:t>
      </w:r>
      <w:r w:rsidR="00BA31FE">
        <w:t xml:space="preserve"> </w:t>
      </w:r>
      <w:r w:rsidR="00960FDE">
        <w:t>jednym z najwyższych przedziałów punktowych.</w:t>
      </w:r>
      <w:r w:rsidR="00DF437A">
        <w:t xml:space="preserve"> Przyję</w:t>
      </w:r>
      <w:r w:rsidR="00C42A39">
        <w:t>ły</w:t>
      </w:r>
      <w:r w:rsidR="00DF437A">
        <w:t xml:space="preserve"> wartości</w:t>
      </w:r>
      <w:r w:rsidR="002D4D9D">
        <w:t xml:space="preserve"> </w:t>
      </w:r>
      <w:r w:rsidR="00501DB2">
        <w:t>wy</w:t>
      </w:r>
      <w:r w:rsidR="00055D7F">
        <w:t>ższe</w:t>
      </w:r>
      <w:r w:rsidR="00C72EB7">
        <w:t xml:space="preserve"> o </w:t>
      </w:r>
      <w:r w:rsidR="00634977">
        <w:t xml:space="preserve">0,43 punktu </w:t>
      </w:r>
      <w:r w:rsidR="00DF437A">
        <w:t xml:space="preserve">  w </w:t>
      </w:r>
      <w:r w:rsidR="00055D7F">
        <w:t xml:space="preserve">stosunku do </w:t>
      </w:r>
      <w:r w:rsidR="002D4D9D">
        <w:t>roku 202</w:t>
      </w:r>
      <w:r w:rsidR="00960FDE">
        <w:t>2.</w:t>
      </w:r>
      <w:r w:rsidR="009B2C39">
        <w:t xml:space="preserve"> </w:t>
      </w:r>
      <w:r w:rsidR="00DF437A">
        <w:t>Ł</w:t>
      </w:r>
      <w:r w:rsidR="00D55DD4">
        <w:t xml:space="preserve">ączna ocena punktowa wyniosła </w:t>
      </w:r>
      <w:r w:rsidR="00960FDE">
        <w:t xml:space="preserve">21, o 9 punktów </w:t>
      </w:r>
      <w:r w:rsidR="00634977">
        <w:t xml:space="preserve">wyższa </w:t>
      </w:r>
      <w:r w:rsidR="00960FDE">
        <w:t>niż w roku 2022.</w:t>
      </w:r>
    </w:p>
    <w:p w14:paraId="7E2C1F59" w14:textId="77777777" w:rsidR="00275BD7" w:rsidRDefault="00275BD7" w:rsidP="00275BD7"/>
    <w:p w14:paraId="7DBB83CD" w14:textId="77777777" w:rsidR="00275BD7" w:rsidRDefault="00275BD7">
      <w:pPr>
        <w:widowControl/>
        <w:suppressAutoHyphens w:val="0"/>
        <w:jc w:val="both"/>
      </w:pPr>
      <w:r>
        <w:br w:type="page"/>
      </w:r>
    </w:p>
    <w:p w14:paraId="1DBC5406" w14:textId="477F32D8" w:rsidR="003F45BD" w:rsidRDefault="003F45BD" w:rsidP="002E03E0">
      <w:pPr>
        <w:pStyle w:val="Nagwek3"/>
        <w:numPr>
          <w:ilvl w:val="2"/>
          <w:numId w:val="2"/>
        </w:numPr>
        <w:rPr>
          <w:rFonts w:ascii="Times New Roman" w:hAnsi="Times New Roman" w:cs="Times New Roman"/>
          <w:b w:val="0"/>
          <w:color w:val="auto"/>
        </w:rPr>
      </w:pPr>
      <w:bookmarkStart w:id="5" w:name="_Toc104448285"/>
      <w:r w:rsidRPr="002E03E0">
        <w:rPr>
          <w:rFonts w:ascii="Times New Roman" w:hAnsi="Times New Roman" w:cs="Times New Roman"/>
          <w:b w:val="0"/>
          <w:color w:val="auto"/>
        </w:rPr>
        <w:lastRenderedPageBreak/>
        <w:t>Wskaźniki efektywności</w:t>
      </w:r>
      <w:bookmarkEnd w:id="5"/>
    </w:p>
    <w:p w14:paraId="75CE5977" w14:textId="77777777" w:rsidR="00124981" w:rsidRPr="00124981" w:rsidRDefault="00124981" w:rsidP="00124981"/>
    <w:p w14:paraId="5CF02A18" w14:textId="77777777" w:rsidR="00275BD7" w:rsidRDefault="00275BD7" w:rsidP="00416069">
      <w:pPr>
        <w:spacing w:line="360" w:lineRule="auto"/>
      </w:pPr>
    </w:p>
    <w:p w14:paraId="048BB23D" w14:textId="77777777" w:rsidR="00275BD7" w:rsidRPr="00C72EB7" w:rsidRDefault="00275BD7" w:rsidP="00416069">
      <w:pPr>
        <w:spacing w:line="360" w:lineRule="auto"/>
        <w:jc w:val="both"/>
      </w:pPr>
      <w:r w:rsidRPr="00C72EB7">
        <w:t>Wskaźnik rotacji należności (w dniach) określa długość cyklu oczekiwania pod</w:t>
      </w:r>
      <w:r w:rsidR="007E0A25" w:rsidRPr="00C72EB7">
        <w:t>miotu na </w:t>
      </w:r>
      <w:r w:rsidRPr="00C72EB7">
        <w:t>uzyskanie należności za świadczone usługi. Im wyższy poziom wskaźnika, tym podmiot ma większe trudności ze ściągalnością swoich należności, co może obniżyć zdolność do terminowego regulowania zobowiązań.</w:t>
      </w:r>
    </w:p>
    <w:p w14:paraId="7E4187A0" w14:textId="77777777" w:rsidR="00275BD7" w:rsidRPr="00C72EB7" w:rsidRDefault="00275BD7" w:rsidP="00416069">
      <w:pPr>
        <w:spacing w:before="120" w:line="360" w:lineRule="auto"/>
        <w:jc w:val="both"/>
      </w:pPr>
      <w:r w:rsidRPr="00C72EB7">
        <w:t>Wskaźnik rotacji zobowiązań (w dniach) określa okres, jaki jest potrzebny pod</w:t>
      </w:r>
      <w:r w:rsidR="007E0A25" w:rsidRPr="00C72EB7">
        <w:t>miotowi do </w:t>
      </w:r>
      <w:r w:rsidRPr="00C72EB7">
        <w:t>spłacenia swoich zobowiązań krótkoterminowych. Zbyt wysoka wartość wskaźnika może świadczyć o trudnościach podmiotu w regulowaniu swoich bieżących zobowiązań.</w:t>
      </w:r>
    </w:p>
    <w:p w14:paraId="32FD118B" w14:textId="77777777" w:rsidR="004C55C6" w:rsidRDefault="004C55C6" w:rsidP="004C55C6">
      <w:pPr>
        <w:jc w:val="both"/>
        <w:rPr>
          <w:rFonts w:cs="Arial"/>
          <w:bCs/>
          <w:szCs w:val="24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800"/>
        <w:gridCol w:w="2134"/>
        <w:gridCol w:w="1418"/>
        <w:gridCol w:w="1559"/>
      </w:tblGrid>
      <w:tr w:rsidR="00A15A36" w:rsidRPr="00A15A36" w14:paraId="018C35E8" w14:textId="77777777" w:rsidTr="00BC68A0">
        <w:trPr>
          <w:trHeight w:val="255"/>
        </w:trPr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7E4BC"/>
            <w:vAlign w:val="center"/>
            <w:hideMark/>
          </w:tcPr>
          <w:p w14:paraId="3196C442" w14:textId="77777777" w:rsidR="00A15A36" w:rsidRPr="00A15A36" w:rsidRDefault="00A15A36" w:rsidP="00A15A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A15A36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WSKAŹNIKI EFEKTYWNOŚCI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7FF3EBBE" w14:textId="77777777" w:rsidR="00A15A36" w:rsidRPr="00A15A36" w:rsidRDefault="00A15A36" w:rsidP="00A15A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A15A36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WARTOŚĆ WSKAŹNIKA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4BA7DB13" w14:textId="77777777" w:rsidR="00A15A36" w:rsidRPr="00A15A36" w:rsidRDefault="00A15A36" w:rsidP="00A15A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A15A36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OCENA PODMIOTU</w:t>
            </w:r>
          </w:p>
        </w:tc>
      </w:tr>
      <w:tr w:rsidR="00A15A36" w:rsidRPr="00A15A36" w14:paraId="23820C78" w14:textId="77777777" w:rsidTr="00BC68A0">
        <w:trPr>
          <w:trHeight w:val="570"/>
        </w:trPr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AF1DD"/>
            <w:vAlign w:val="center"/>
            <w:hideMark/>
          </w:tcPr>
          <w:p w14:paraId="7AFCBC20" w14:textId="77777777" w:rsidR="00A15A36" w:rsidRPr="00A15A36" w:rsidRDefault="00A15A36" w:rsidP="00A15A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A15A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WSKAŹNIK ROTACJI NALEŻNOŚCI (W DNIACH)                                                                                      </w:t>
            </w:r>
            <w:r w:rsidRPr="00A15A36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                                                (Średni stan należności z tytułu dostaw i usług x liczba dni w okresie (365)) / (Przychody netto ze sprzedaży produktów + przychody netto ze sprzedaży towarów i materiałów)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AF1DD"/>
            <w:vAlign w:val="center"/>
            <w:hideMark/>
          </w:tcPr>
          <w:p w14:paraId="4CCA1654" w14:textId="77777777" w:rsidR="00A15A36" w:rsidRPr="00A15A36" w:rsidRDefault="00A15A36" w:rsidP="00A15A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A15A36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7FC77FE2" w14:textId="77777777" w:rsidR="00A15A36" w:rsidRPr="00A15A36" w:rsidRDefault="00A15A36" w:rsidP="00A15A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63636"/>
                <w:sz w:val="26"/>
                <w:szCs w:val="26"/>
                <w:lang w:eastAsia="pl-PL"/>
              </w:rPr>
            </w:pPr>
            <w:r w:rsidRPr="00A15A36">
              <w:rPr>
                <w:rFonts w:ascii="Arial" w:eastAsia="Times New Roman" w:hAnsi="Arial" w:cs="Arial"/>
                <w:b/>
                <w:bCs/>
                <w:color w:val="363636"/>
                <w:sz w:val="26"/>
                <w:szCs w:val="26"/>
                <w:lang w:eastAsia="pl-PL"/>
              </w:rPr>
              <w:t> </w:t>
            </w:r>
          </w:p>
        </w:tc>
      </w:tr>
      <w:tr w:rsidR="00A15A36" w:rsidRPr="00A15A36" w14:paraId="0A356347" w14:textId="77777777" w:rsidTr="00BC68A0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vAlign w:val="center"/>
            <w:hideMark/>
          </w:tcPr>
          <w:p w14:paraId="4F252BBD" w14:textId="77777777" w:rsidR="00A15A36" w:rsidRPr="00A15A36" w:rsidRDefault="00A15A36" w:rsidP="00A15A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A15A36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vAlign w:val="center"/>
            <w:hideMark/>
          </w:tcPr>
          <w:p w14:paraId="600BCAD3" w14:textId="77777777" w:rsidR="00A15A36" w:rsidRPr="00A15A36" w:rsidRDefault="00A15A36" w:rsidP="00A15A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pl-PL"/>
              </w:rPr>
            </w:pPr>
            <w:r w:rsidRPr="00A15A36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pl-PL"/>
              </w:rPr>
              <w:t>gdzie średni stan należności z tytułu dostaw i usług to suma tych należności na koniec poprzedniego roku obrotowego i na koniec bieżącego roku obrotowego podzielona przez 2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F70E056" w14:textId="77777777" w:rsidR="00A15A36" w:rsidRPr="00A15A36" w:rsidRDefault="00A15A36" w:rsidP="00A15A36">
            <w:pPr>
              <w:widowControl/>
              <w:suppressAutoHyphens w:val="0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B1B5B" w14:textId="77777777" w:rsidR="00A15A36" w:rsidRPr="00A15A36" w:rsidRDefault="00A15A36" w:rsidP="00A15A3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363636"/>
                <w:sz w:val="26"/>
                <w:szCs w:val="26"/>
                <w:lang w:eastAsia="pl-PL"/>
              </w:rPr>
            </w:pPr>
          </w:p>
        </w:tc>
      </w:tr>
      <w:tr w:rsidR="00A15A36" w:rsidRPr="00A15A36" w14:paraId="307A820C" w14:textId="77777777" w:rsidTr="00BC68A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5FE1" w14:textId="77777777" w:rsidR="00A15A36" w:rsidRPr="00A15A36" w:rsidRDefault="00601FA9" w:rsidP="00A15A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Lp</w:t>
            </w:r>
            <w:r w:rsidRPr="006D2E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0059" w14:textId="77777777" w:rsidR="00A15A36" w:rsidRPr="00A15A36" w:rsidRDefault="00A15A36" w:rsidP="00A15A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15A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PRZEDZIAŁY WARTOŚCI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7265C" w14:textId="77777777" w:rsidR="00A15A36" w:rsidRPr="00A15A36" w:rsidRDefault="00A15A36" w:rsidP="00A15A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15A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OCENA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4A98" w14:textId="1CBF6FF5" w:rsidR="00A15A36" w:rsidRPr="00F0370C" w:rsidRDefault="00E24CB4" w:rsidP="00A15A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3</w:t>
            </w:r>
            <w:r w:rsidR="009B2C3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2</w:t>
            </w:r>
            <w:r w:rsidR="00601B5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,61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ABBF" w14:textId="77777777" w:rsidR="00A15A36" w:rsidRPr="00A15A36" w:rsidRDefault="00760763" w:rsidP="00A15A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63636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63636"/>
                <w:sz w:val="22"/>
                <w:szCs w:val="22"/>
                <w:lang w:eastAsia="pl-PL"/>
              </w:rPr>
              <w:t>3</w:t>
            </w:r>
            <w:r w:rsidR="00A15A36" w:rsidRPr="00A15A36">
              <w:rPr>
                <w:rFonts w:ascii="Arial" w:eastAsia="Times New Roman" w:hAnsi="Arial" w:cs="Arial"/>
                <w:b/>
                <w:bCs/>
                <w:color w:val="363636"/>
                <w:sz w:val="22"/>
                <w:szCs w:val="22"/>
                <w:lang w:eastAsia="pl-PL"/>
              </w:rPr>
              <w:t> </w:t>
            </w:r>
          </w:p>
        </w:tc>
      </w:tr>
      <w:tr w:rsidR="00A15A36" w:rsidRPr="00A15A36" w14:paraId="01A1B824" w14:textId="77777777" w:rsidTr="00BC68A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E105" w14:textId="77777777" w:rsidR="00A15A36" w:rsidRPr="00A15A36" w:rsidRDefault="00A15A36" w:rsidP="00A15A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15A36">
              <w:rPr>
                <w:rFonts w:ascii="Arial" w:eastAsia="Times New Roman" w:hAnsi="Arial" w:cs="Arial"/>
                <w:sz w:val="20"/>
                <w:lang w:eastAsia="pl-PL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74C7" w14:textId="77777777" w:rsidR="00A15A36" w:rsidRPr="00A15A36" w:rsidRDefault="00A15A36" w:rsidP="00A15A3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15A36">
              <w:rPr>
                <w:rFonts w:ascii="Arial" w:eastAsia="Times New Roman" w:hAnsi="Arial" w:cs="Arial"/>
                <w:sz w:val="20"/>
                <w:lang w:eastAsia="pl-PL"/>
              </w:rPr>
              <w:t>poniżej 45 dni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0C8B6" w14:textId="77777777" w:rsidR="00A15A36" w:rsidRPr="00A15A36" w:rsidRDefault="00A15A36" w:rsidP="00A15A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15A36">
              <w:rPr>
                <w:rFonts w:ascii="Arial" w:eastAsia="Times New Roman" w:hAnsi="Arial" w:cs="Arial"/>
                <w:sz w:val="20"/>
                <w:lang w:eastAsia="pl-PL"/>
              </w:rPr>
              <w:t>3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0E6D3" w14:textId="77777777" w:rsidR="00A15A36" w:rsidRPr="00A15A36" w:rsidRDefault="00A15A36" w:rsidP="00A15A36">
            <w:pPr>
              <w:widowControl/>
              <w:suppressAutoHyphens w:val="0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41E78" w14:textId="77777777" w:rsidR="00A15A36" w:rsidRPr="00A15A36" w:rsidRDefault="00A15A36" w:rsidP="00A15A3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363636"/>
                <w:szCs w:val="22"/>
                <w:lang w:eastAsia="pl-PL"/>
              </w:rPr>
            </w:pPr>
          </w:p>
        </w:tc>
      </w:tr>
      <w:tr w:rsidR="00A15A36" w:rsidRPr="00A15A36" w14:paraId="2446065A" w14:textId="77777777" w:rsidTr="00BC68A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E8B0" w14:textId="77777777" w:rsidR="00A15A36" w:rsidRPr="00A15A36" w:rsidRDefault="00A15A36" w:rsidP="00A15A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15A36">
              <w:rPr>
                <w:rFonts w:ascii="Arial" w:eastAsia="Times New Roman" w:hAnsi="Arial" w:cs="Arial"/>
                <w:sz w:val="20"/>
                <w:lang w:eastAsia="pl-PL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76D7" w14:textId="77777777" w:rsidR="00A15A36" w:rsidRPr="00A15A36" w:rsidRDefault="00A15A36" w:rsidP="00A15A3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15A36">
              <w:rPr>
                <w:rFonts w:ascii="Arial" w:eastAsia="Times New Roman" w:hAnsi="Arial" w:cs="Arial"/>
                <w:sz w:val="20"/>
                <w:lang w:eastAsia="pl-PL"/>
              </w:rPr>
              <w:t>od 45 dni do 60 dni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3DF59" w14:textId="77777777" w:rsidR="00A15A36" w:rsidRPr="00A15A36" w:rsidRDefault="00A15A36" w:rsidP="00A15A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15A36">
              <w:rPr>
                <w:rFonts w:ascii="Arial" w:eastAsia="Times New Roman" w:hAnsi="Arial" w:cs="Arial"/>
                <w:sz w:val="20"/>
                <w:lang w:eastAsia="pl-PL"/>
              </w:rPr>
              <w:t>2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353B" w14:textId="77777777" w:rsidR="00A15A36" w:rsidRPr="00A15A36" w:rsidRDefault="00A15A36" w:rsidP="00A15A36">
            <w:pPr>
              <w:widowControl/>
              <w:suppressAutoHyphens w:val="0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FD23" w14:textId="77777777" w:rsidR="00A15A36" w:rsidRPr="00A15A36" w:rsidRDefault="00A15A36" w:rsidP="00A15A3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363636"/>
                <w:szCs w:val="22"/>
                <w:lang w:eastAsia="pl-PL"/>
              </w:rPr>
            </w:pPr>
          </w:p>
        </w:tc>
      </w:tr>
      <w:tr w:rsidR="00A15A36" w:rsidRPr="00A15A36" w14:paraId="55A024F4" w14:textId="77777777" w:rsidTr="00BC68A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6DFB" w14:textId="77777777" w:rsidR="00A15A36" w:rsidRPr="00A15A36" w:rsidRDefault="00A15A36" w:rsidP="00A15A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15A36">
              <w:rPr>
                <w:rFonts w:ascii="Arial" w:eastAsia="Times New Roman" w:hAnsi="Arial" w:cs="Arial"/>
                <w:sz w:val="20"/>
                <w:lang w:eastAsia="pl-PL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145F" w14:textId="77777777" w:rsidR="00A15A36" w:rsidRPr="00A15A36" w:rsidRDefault="00A15A36" w:rsidP="00A15A3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15A36">
              <w:rPr>
                <w:rFonts w:ascii="Arial" w:eastAsia="Times New Roman" w:hAnsi="Arial" w:cs="Arial"/>
                <w:sz w:val="20"/>
                <w:lang w:eastAsia="pl-PL"/>
              </w:rPr>
              <w:t>od 61 dni do 90 dni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04059" w14:textId="77777777" w:rsidR="00A15A36" w:rsidRPr="00A15A36" w:rsidRDefault="00A15A36" w:rsidP="00A15A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15A36">
              <w:rPr>
                <w:rFonts w:ascii="Arial" w:eastAsia="Times New Roman" w:hAnsi="Arial" w:cs="Arial"/>
                <w:sz w:val="20"/>
                <w:lang w:eastAsia="pl-PL"/>
              </w:rPr>
              <w:t>1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8D3E" w14:textId="77777777" w:rsidR="00A15A36" w:rsidRPr="00A15A36" w:rsidRDefault="00A15A36" w:rsidP="00A15A36">
            <w:pPr>
              <w:widowControl/>
              <w:suppressAutoHyphens w:val="0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7318" w14:textId="77777777" w:rsidR="00A15A36" w:rsidRPr="00A15A36" w:rsidRDefault="00A15A36" w:rsidP="00A15A3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363636"/>
                <w:szCs w:val="22"/>
                <w:lang w:eastAsia="pl-PL"/>
              </w:rPr>
            </w:pPr>
          </w:p>
        </w:tc>
      </w:tr>
      <w:tr w:rsidR="00A15A36" w:rsidRPr="00A15A36" w14:paraId="61D60D23" w14:textId="77777777" w:rsidTr="00BC68A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782F" w14:textId="77777777" w:rsidR="00A15A36" w:rsidRPr="00A15A36" w:rsidRDefault="00A15A36" w:rsidP="00A15A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15A36">
              <w:rPr>
                <w:rFonts w:ascii="Arial" w:eastAsia="Times New Roman" w:hAnsi="Arial" w:cs="Arial"/>
                <w:sz w:val="20"/>
                <w:lang w:eastAsia="pl-PL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9139" w14:textId="77777777" w:rsidR="00A15A36" w:rsidRPr="00A15A36" w:rsidRDefault="00A15A36" w:rsidP="00A15A3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15A36">
              <w:rPr>
                <w:rFonts w:ascii="Arial" w:eastAsia="Times New Roman" w:hAnsi="Arial" w:cs="Arial"/>
                <w:sz w:val="20"/>
                <w:lang w:eastAsia="pl-PL"/>
              </w:rPr>
              <w:t>powyżej 90 dni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8EBC8" w14:textId="77777777" w:rsidR="00A15A36" w:rsidRPr="00A15A36" w:rsidRDefault="00A15A36" w:rsidP="00A15A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15A36">
              <w:rPr>
                <w:rFonts w:ascii="Arial" w:eastAsia="Times New Roman" w:hAnsi="Arial" w:cs="Arial"/>
                <w:sz w:val="20"/>
                <w:lang w:eastAsia="pl-PL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A3AB6" w14:textId="77777777" w:rsidR="00A15A36" w:rsidRPr="00A15A36" w:rsidRDefault="00A15A36" w:rsidP="00A15A36">
            <w:pPr>
              <w:widowControl/>
              <w:suppressAutoHyphens w:val="0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B36E7" w14:textId="77777777" w:rsidR="00A15A36" w:rsidRPr="00A15A36" w:rsidRDefault="00A15A36" w:rsidP="00A15A3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363636"/>
                <w:szCs w:val="22"/>
                <w:lang w:eastAsia="pl-PL"/>
              </w:rPr>
            </w:pPr>
          </w:p>
        </w:tc>
      </w:tr>
      <w:tr w:rsidR="00A15A36" w:rsidRPr="00A15A36" w14:paraId="71E22062" w14:textId="77777777" w:rsidTr="00BC68A0">
        <w:trPr>
          <w:trHeight w:val="600"/>
        </w:trPr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AF1DD"/>
            <w:vAlign w:val="center"/>
            <w:hideMark/>
          </w:tcPr>
          <w:p w14:paraId="6BC2F405" w14:textId="77777777" w:rsidR="00A15A36" w:rsidRPr="00A15A36" w:rsidRDefault="00A15A36" w:rsidP="00A15A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A15A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WSKAŹNIK ROTACJI ZOBOWIĄZAŃ (W DNIACH)</w:t>
            </w:r>
            <w:r w:rsidRPr="00A15A36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                                                                                                                                              (Średni stan zobowiązań z tytułu dostaw i usług x liczba dni w okresie (365)) / (Przychody netto ze sprzedaży produktów + przychody netto ze sprzedaży towarów i materiałów)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14:paraId="31184AC5" w14:textId="77777777" w:rsidR="00A15A36" w:rsidRPr="00A15A36" w:rsidRDefault="00A15A36" w:rsidP="00A15A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A15A36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0BF93139" w14:textId="77777777" w:rsidR="00A15A36" w:rsidRPr="00A15A36" w:rsidRDefault="00A15A36" w:rsidP="00A15A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63636"/>
                <w:sz w:val="26"/>
                <w:szCs w:val="26"/>
                <w:lang w:eastAsia="pl-PL"/>
              </w:rPr>
            </w:pPr>
            <w:r w:rsidRPr="00A15A36">
              <w:rPr>
                <w:rFonts w:ascii="Arial" w:eastAsia="Times New Roman" w:hAnsi="Arial" w:cs="Arial"/>
                <w:b/>
                <w:bCs/>
                <w:color w:val="363636"/>
                <w:sz w:val="26"/>
                <w:szCs w:val="26"/>
                <w:lang w:eastAsia="pl-PL"/>
              </w:rPr>
              <w:t> </w:t>
            </w:r>
          </w:p>
        </w:tc>
      </w:tr>
      <w:tr w:rsidR="00A15A36" w:rsidRPr="00A15A36" w14:paraId="61211A3D" w14:textId="77777777" w:rsidTr="00BC68A0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vAlign w:val="center"/>
            <w:hideMark/>
          </w:tcPr>
          <w:p w14:paraId="0B015727" w14:textId="77777777" w:rsidR="00A15A36" w:rsidRPr="00A15A36" w:rsidRDefault="00A15A36" w:rsidP="00A15A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A15A36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vAlign w:val="center"/>
            <w:hideMark/>
          </w:tcPr>
          <w:p w14:paraId="4D7916E9" w14:textId="77777777" w:rsidR="00A15A36" w:rsidRPr="00A15A36" w:rsidRDefault="00A15A36" w:rsidP="00A15A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pl-PL"/>
              </w:rPr>
            </w:pPr>
            <w:r w:rsidRPr="00A15A36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pl-PL"/>
              </w:rPr>
              <w:t xml:space="preserve">gdzie średni stan </w:t>
            </w:r>
            <w:r w:rsidR="007D4476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pl-PL"/>
              </w:rPr>
              <w:t>zobowią</w:t>
            </w:r>
            <w:r w:rsidRPr="00A15A36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pl-PL"/>
              </w:rPr>
              <w:t xml:space="preserve">zań z tytułu dostaw i usług to suma tych </w:t>
            </w:r>
            <w:r w:rsidR="007D4476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pl-PL"/>
              </w:rPr>
              <w:t>z</w:t>
            </w:r>
            <w:r w:rsidRPr="00A15A36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pl-PL"/>
              </w:rPr>
              <w:t>obowiązań na koniec poprzedniego roku obrotowego i na koniec bieżącego roku obrotowego podzielona przez 2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70B4C6" w14:textId="77777777" w:rsidR="00A15A36" w:rsidRPr="00A15A36" w:rsidRDefault="00A15A36" w:rsidP="00A15A36">
            <w:pPr>
              <w:widowControl/>
              <w:suppressAutoHyphens w:val="0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3D863" w14:textId="77777777" w:rsidR="00A15A36" w:rsidRPr="00A15A36" w:rsidRDefault="00A15A36" w:rsidP="00A15A3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363636"/>
                <w:sz w:val="26"/>
                <w:szCs w:val="26"/>
                <w:lang w:eastAsia="pl-PL"/>
              </w:rPr>
            </w:pPr>
          </w:p>
        </w:tc>
      </w:tr>
      <w:tr w:rsidR="00A15A36" w:rsidRPr="00A15A36" w14:paraId="68C16F67" w14:textId="77777777" w:rsidTr="00BC68A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92EA" w14:textId="77777777" w:rsidR="00A15A36" w:rsidRPr="00A15A36" w:rsidRDefault="00601FA9" w:rsidP="00A15A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Lp</w:t>
            </w:r>
            <w:r w:rsidRPr="006D2E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0568" w14:textId="77777777" w:rsidR="00A15A36" w:rsidRPr="00A15A36" w:rsidRDefault="00A15A36" w:rsidP="00A15A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15A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PRZEDZIAŁY WARTOŚCI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13DEC" w14:textId="77777777" w:rsidR="00A15A36" w:rsidRPr="00A15A36" w:rsidRDefault="00A15A36" w:rsidP="00A15A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15A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OCENA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6A17" w14:textId="46CFE76D" w:rsidR="00A15A36" w:rsidRPr="00F0370C" w:rsidRDefault="00A15A36" w:rsidP="00A15A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Cs w:val="22"/>
                <w:lang w:eastAsia="pl-PL"/>
              </w:rPr>
            </w:pPr>
            <w:r w:rsidRPr="00F0370C">
              <w:rPr>
                <w:rFonts w:ascii="Arial" w:eastAsia="Times New Roman" w:hAnsi="Arial" w:cs="Arial"/>
                <w:szCs w:val="24"/>
                <w:lang w:eastAsia="pl-PL"/>
              </w:rPr>
              <w:t> </w:t>
            </w:r>
            <w:r w:rsidR="00E24CB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1</w:t>
            </w:r>
            <w:r w:rsidR="00601B5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5,98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C8A6" w14:textId="77777777" w:rsidR="00A15A36" w:rsidRPr="00A15A36" w:rsidRDefault="00760763" w:rsidP="00A15A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63636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63636"/>
                <w:sz w:val="22"/>
                <w:szCs w:val="22"/>
                <w:lang w:eastAsia="pl-PL"/>
              </w:rPr>
              <w:t>7</w:t>
            </w:r>
            <w:r w:rsidR="00A15A36" w:rsidRPr="00A15A36">
              <w:rPr>
                <w:rFonts w:ascii="Arial" w:eastAsia="Times New Roman" w:hAnsi="Arial" w:cs="Arial"/>
                <w:b/>
                <w:bCs/>
                <w:color w:val="363636"/>
                <w:sz w:val="22"/>
                <w:szCs w:val="22"/>
                <w:lang w:eastAsia="pl-PL"/>
              </w:rPr>
              <w:t> </w:t>
            </w:r>
          </w:p>
        </w:tc>
      </w:tr>
      <w:tr w:rsidR="00A15A36" w:rsidRPr="00A15A36" w14:paraId="19058933" w14:textId="77777777" w:rsidTr="00BC68A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C039" w14:textId="77777777" w:rsidR="00A15A36" w:rsidRPr="00A15A36" w:rsidRDefault="00A15A36" w:rsidP="00A15A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15A36">
              <w:rPr>
                <w:rFonts w:ascii="Arial" w:eastAsia="Times New Roman" w:hAnsi="Arial" w:cs="Arial"/>
                <w:sz w:val="20"/>
                <w:lang w:eastAsia="pl-PL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2393" w14:textId="77777777" w:rsidR="00A15A36" w:rsidRPr="00A15A36" w:rsidRDefault="00A15A36" w:rsidP="00A15A3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15A36">
              <w:rPr>
                <w:rFonts w:ascii="Arial" w:eastAsia="Times New Roman" w:hAnsi="Arial" w:cs="Arial"/>
                <w:sz w:val="20"/>
                <w:lang w:eastAsia="pl-PL"/>
              </w:rPr>
              <w:t>do 60 dni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38236" w14:textId="77777777" w:rsidR="00A15A36" w:rsidRPr="00A15A36" w:rsidRDefault="00A15A36" w:rsidP="00A15A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15A36">
              <w:rPr>
                <w:rFonts w:ascii="Arial" w:eastAsia="Times New Roman" w:hAnsi="Arial" w:cs="Arial"/>
                <w:sz w:val="20"/>
                <w:lang w:eastAsia="pl-PL"/>
              </w:rPr>
              <w:t>7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73A37" w14:textId="77777777" w:rsidR="00A15A36" w:rsidRPr="00A15A36" w:rsidRDefault="00A15A36" w:rsidP="00A15A36">
            <w:pPr>
              <w:widowControl/>
              <w:suppressAutoHyphens w:val="0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3FB4" w14:textId="77777777" w:rsidR="00A15A36" w:rsidRPr="00A15A36" w:rsidRDefault="00A15A36" w:rsidP="00A15A3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363636"/>
                <w:szCs w:val="22"/>
                <w:lang w:eastAsia="pl-PL"/>
              </w:rPr>
            </w:pPr>
          </w:p>
        </w:tc>
      </w:tr>
      <w:tr w:rsidR="00A15A36" w:rsidRPr="00A15A36" w14:paraId="6CA82812" w14:textId="77777777" w:rsidTr="00BC68A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34D6" w14:textId="77777777" w:rsidR="00A15A36" w:rsidRPr="00A15A36" w:rsidRDefault="00A15A36" w:rsidP="00A15A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15A36">
              <w:rPr>
                <w:rFonts w:ascii="Arial" w:eastAsia="Times New Roman" w:hAnsi="Arial" w:cs="Arial"/>
                <w:sz w:val="20"/>
                <w:lang w:eastAsia="pl-PL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97E8" w14:textId="77777777" w:rsidR="00A15A36" w:rsidRPr="00A15A36" w:rsidRDefault="00A15A36" w:rsidP="00A15A3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15A36">
              <w:rPr>
                <w:rFonts w:ascii="Arial" w:eastAsia="Times New Roman" w:hAnsi="Arial" w:cs="Arial"/>
                <w:sz w:val="20"/>
                <w:lang w:eastAsia="pl-PL"/>
              </w:rPr>
              <w:t>od 61 dni do 90 dni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098E5" w14:textId="77777777" w:rsidR="00A15A36" w:rsidRPr="00A15A36" w:rsidRDefault="00A15A36" w:rsidP="00A15A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15A36">
              <w:rPr>
                <w:rFonts w:ascii="Arial" w:eastAsia="Times New Roman" w:hAnsi="Arial" w:cs="Arial"/>
                <w:sz w:val="20"/>
                <w:lang w:eastAsia="pl-PL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6352D" w14:textId="77777777" w:rsidR="00A15A36" w:rsidRPr="00A15A36" w:rsidRDefault="00A15A36" w:rsidP="00A15A36">
            <w:pPr>
              <w:widowControl/>
              <w:suppressAutoHyphens w:val="0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2CABB" w14:textId="77777777" w:rsidR="00A15A36" w:rsidRPr="00A15A36" w:rsidRDefault="00A15A36" w:rsidP="00A15A3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363636"/>
                <w:szCs w:val="22"/>
                <w:lang w:eastAsia="pl-PL"/>
              </w:rPr>
            </w:pPr>
          </w:p>
        </w:tc>
      </w:tr>
      <w:tr w:rsidR="00A15A36" w:rsidRPr="00A15A36" w14:paraId="0F6696D8" w14:textId="77777777" w:rsidTr="00BC68A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26F7" w14:textId="77777777" w:rsidR="00A15A36" w:rsidRPr="00A15A36" w:rsidRDefault="00A15A36" w:rsidP="00A15A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15A36">
              <w:rPr>
                <w:rFonts w:ascii="Arial" w:eastAsia="Times New Roman" w:hAnsi="Arial" w:cs="Arial"/>
                <w:sz w:val="20"/>
                <w:lang w:eastAsia="pl-PL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7EEA" w14:textId="77777777" w:rsidR="00A15A36" w:rsidRPr="00A15A36" w:rsidRDefault="00A15A36" w:rsidP="00A15A3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15A36">
              <w:rPr>
                <w:rFonts w:ascii="Arial" w:eastAsia="Times New Roman" w:hAnsi="Arial" w:cs="Arial"/>
                <w:sz w:val="20"/>
                <w:lang w:eastAsia="pl-PL"/>
              </w:rPr>
              <w:t>powyżej 90 dni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E9EC9" w14:textId="77777777" w:rsidR="00A15A36" w:rsidRPr="00A15A36" w:rsidRDefault="00A15A36" w:rsidP="00A15A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15A36">
              <w:rPr>
                <w:rFonts w:ascii="Arial" w:eastAsia="Times New Roman" w:hAnsi="Arial" w:cs="Arial"/>
                <w:sz w:val="20"/>
                <w:lang w:eastAsia="pl-PL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85AC" w14:textId="77777777" w:rsidR="00A15A36" w:rsidRPr="00A15A36" w:rsidRDefault="00A15A36" w:rsidP="00A15A36">
            <w:pPr>
              <w:widowControl/>
              <w:suppressAutoHyphens w:val="0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ECAF" w14:textId="77777777" w:rsidR="00A15A36" w:rsidRPr="00A15A36" w:rsidRDefault="00A15A36" w:rsidP="00A15A3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363636"/>
                <w:szCs w:val="22"/>
                <w:lang w:eastAsia="pl-PL"/>
              </w:rPr>
            </w:pPr>
          </w:p>
        </w:tc>
      </w:tr>
    </w:tbl>
    <w:p w14:paraId="6DB5A8D2" w14:textId="77777777" w:rsidR="000333F6" w:rsidRDefault="000333F6" w:rsidP="000333F6">
      <w:pPr>
        <w:widowControl/>
        <w:suppressAutoHyphens w:val="0"/>
        <w:jc w:val="both"/>
        <w:rPr>
          <w:i/>
          <w:color w:val="548DD4" w:themeColor="text2" w:themeTint="99"/>
        </w:rPr>
      </w:pPr>
    </w:p>
    <w:p w14:paraId="6D1A74A6" w14:textId="77777777" w:rsidR="000333F6" w:rsidRDefault="000333F6" w:rsidP="000333F6">
      <w:pPr>
        <w:widowControl/>
        <w:suppressAutoHyphens w:val="0"/>
        <w:jc w:val="both"/>
        <w:rPr>
          <w:i/>
          <w:color w:val="548DD4" w:themeColor="text2" w:themeTint="99"/>
        </w:rPr>
      </w:pPr>
    </w:p>
    <w:p w14:paraId="2AFA07F5" w14:textId="1A67D014" w:rsidR="000333F6" w:rsidRPr="00D55DD4" w:rsidRDefault="001345DB" w:rsidP="00BC68A0">
      <w:pPr>
        <w:pStyle w:val="Nagwek3"/>
        <w:spacing w:line="360" w:lineRule="auto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</w:t>
      </w:r>
      <w:bookmarkStart w:id="6" w:name="_Toc104448049"/>
      <w:bookmarkStart w:id="7" w:name="_Toc104448286"/>
      <w:r w:rsidR="00D55DD4" w:rsidRPr="00D55DD4">
        <w:rPr>
          <w:rFonts w:ascii="Times New Roman" w:hAnsi="Times New Roman" w:cs="Times New Roman"/>
          <w:b w:val="0"/>
          <w:color w:val="auto"/>
        </w:rPr>
        <w:t>Wskaźnik</w:t>
      </w:r>
      <w:r>
        <w:rPr>
          <w:rFonts w:ascii="Times New Roman" w:hAnsi="Times New Roman" w:cs="Times New Roman"/>
          <w:b w:val="0"/>
          <w:color w:val="auto"/>
        </w:rPr>
        <w:t>i efektywności  za rok 202</w:t>
      </w:r>
      <w:r w:rsidR="00601B55">
        <w:rPr>
          <w:rFonts w:ascii="Times New Roman" w:hAnsi="Times New Roman" w:cs="Times New Roman"/>
          <w:b w:val="0"/>
          <w:color w:val="auto"/>
        </w:rPr>
        <w:t>3</w:t>
      </w:r>
      <w:r>
        <w:rPr>
          <w:rFonts w:ascii="Times New Roman" w:hAnsi="Times New Roman" w:cs="Times New Roman"/>
          <w:b w:val="0"/>
          <w:color w:val="auto"/>
        </w:rPr>
        <w:t xml:space="preserve"> znalazły </w:t>
      </w:r>
      <w:r w:rsidR="00D55DD4" w:rsidRPr="00D55DD4">
        <w:rPr>
          <w:rFonts w:ascii="Times New Roman" w:hAnsi="Times New Roman" w:cs="Times New Roman"/>
          <w:b w:val="0"/>
          <w:color w:val="auto"/>
        </w:rPr>
        <w:t>si</w:t>
      </w:r>
      <w:r w:rsidR="00055D7F">
        <w:rPr>
          <w:rFonts w:ascii="Times New Roman" w:hAnsi="Times New Roman" w:cs="Times New Roman"/>
          <w:b w:val="0"/>
          <w:color w:val="auto"/>
        </w:rPr>
        <w:t>ę</w:t>
      </w:r>
      <w:r w:rsidR="00D55DD4" w:rsidRPr="00D55DD4">
        <w:rPr>
          <w:rFonts w:ascii="Times New Roman" w:hAnsi="Times New Roman" w:cs="Times New Roman"/>
          <w:b w:val="0"/>
          <w:color w:val="auto"/>
        </w:rPr>
        <w:t xml:space="preserve"> w przedziale najwyżej punktowanym</w:t>
      </w:r>
      <w:r>
        <w:rPr>
          <w:rFonts w:ascii="Times New Roman" w:hAnsi="Times New Roman" w:cs="Times New Roman"/>
          <w:b w:val="0"/>
          <w:color w:val="auto"/>
        </w:rPr>
        <w:t xml:space="preserve">. </w:t>
      </w:r>
      <w:r w:rsidR="00931F26">
        <w:rPr>
          <w:rFonts w:ascii="Times New Roman" w:hAnsi="Times New Roman" w:cs="Times New Roman"/>
          <w:b w:val="0"/>
          <w:color w:val="auto"/>
        </w:rPr>
        <w:t xml:space="preserve">Liczba dni jaka została wykazana we wskaźniku rotacji należności </w:t>
      </w:r>
      <w:r w:rsidR="0019329F">
        <w:rPr>
          <w:rFonts w:ascii="Times New Roman" w:hAnsi="Times New Roman" w:cs="Times New Roman"/>
          <w:b w:val="0"/>
          <w:color w:val="auto"/>
        </w:rPr>
        <w:t>powiększ</w:t>
      </w:r>
      <w:r w:rsidR="00931F26">
        <w:rPr>
          <w:rFonts w:ascii="Times New Roman" w:hAnsi="Times New Roman" w:cs="Times New Roman"/>
          <w:b w:val="0"/>
          <w:color w:val="auto"/>
        </w:rPr>
        <w:t>yła się o 1</w:t>
      </w:r>
      <w:r w:rsidR="0019329F">
        <w:rPr>
          <w:rFonts w:ascii="Times New Roman" w:hAnsi="Times New Roman" w:cs="Times New Roman"/>
          <w:b w:val="0"/>
          <w:color w:val="auto"/>
        </w:rPr>
        <w:t>,</w:t>
      </w:r>
      <w:r w:rsidR="00601B55">
        <w:rPr>
          <w:rFonts w:ascii="Times New Roman" w:hAnsi="Times New Roman" w:cs="Times New Roman"/>
          <w:b w:val="0"/>
          <w:color w:val="auto"/>
        </w:rPr>
        <w:t>40</w:t>
      </w:r>
      <w:r w:rsidR="00931F26">
        <w:rPr>
          <w:rFonts w:ascii="Times New Roman" w:hAnsi="Times New Roman" w:cs="Times New Roman"/>
          <w:b w:val="0"/>
          <w:color w:val="auto"/>
        </w:rPr>
        <w:t xml:space="preserve"> w stosunku do roku 202</w:t>
      </w:r>
      <w:r w:rsidR="00601B55">
        <w:rPr>
          <w:rFonts w:ascii="Times New Roman" w:hAnsi="Times New Roman" w:cs="Times New Roman"/>
          <w:b w:val="0"/>
          <w:color w:val="auto"/>
        </w:rPr>
        <w:t>2</w:t>
      </w:r>
      <w:r w:rsidR="00931F26">
        <w:rPr>
          <w:rFonts w:ascii="Times New Roman" w:hAnsi="Times New Roman" w:cs="Times New Roman"/>
          <w:b w:val="0"/>
          <w:color w:val="auto"/>
        </w:rPr>
        <w:t xml:space="preserve">, natomiast liczba dni we wskaźniku zobowiązań </w:t>
      </w:r>
      <w:r w:rsidR="00601B55">
        <w:rPr>
          <w:rFonts w:ascii="Times New Roman" w:hAnsi="Times New Roman" w:cs="Times New Roman"/>
          <w:b w:val="0"/>
          <w:color w:val="auto"/>
        </w:rPr>
        <w:t>zmniejszyła</w:t>
      </w:r>
      <w:r w:rsidR="00931F26">
        <w:rPr>
          <w:rFonts w:ascii="Times New Roman" w:hAnsi="Times New Roman" w:cs="Times New Roman"/>
          <w:b w:val="0"/>
          <w:color w:val="auto"/>
        </w:rPr>
        <w:t xml:space="preserve"> się o </w:t>
      </w:r>
      <w:r w:rsidR="00601B55">
        <w:rPr>
          <w:rFonts w:ascii="Times New Roman" w:hAnsi="Times New Roman" w:cs="Times New Roman"/>
          <w:b w:val="0"/>
          <w:color w:val="auto"/>
        </w:rPr>
        <w:t>2,74</w:t>
      </w:r>
      <w:r w:rsidR="00931F26">
        <w:rPr>
          <w:rFonts w:ascii="Times New Roman" w:hAnsi="Times New Roman" w:cs="Times New Roman"/>
          <w:b w:val="0"/>
          <w:color w:val="auto"/>
        </w:rPr>
        <w:t xml:space="preserve"> w</w:t>
      </w:r>
      <w:r w:rsidR="005316DB">
        <w:rPr>
          <w:rFonts w:ascii="Times New Roman" w:hAnsi="Times New Roman" w:cs="Times New Roman"/>
          <w:b w:val="0"/>
          <w:color w:val="auto"/>
        </w:rPr>
        <w:t> </w:t>
      </w:r>
      <w:r w:rsidR="00931F26">
        <w:rPr>
          <w:rFonts w:ascii="Times New Roman" w:hAnsi="Times New Roman" w:cs="Times New Roman"/>
          <w:b w:val="0"/>
          <w:color w:val="auto"/>
        </w:rPr>
        <w:t>stosunku do poprzedniego roku. Oznacza to,</w:t>
      </w:r>
      <w:r w:rsidR="006A1DF7">
        <w:rPr>
          <w:rFonts w:ascii="Times New Roman" w:hAnsi="Times New Roman" w:cs="Times New Roman"/>
          <w:b w:val="0"/>
          <w:color w:val="auto"/>
        </w:rPr>
        <w:t xml:space="preserve"> że oba wskaźniki utrzymały się na podobnym poziomie</w:t>
      </w:r>
      <w:r w:rsidR="00931F26">
        <w:rPr>
          <w:rFonts w:ascii="Times New Roman" w:hAnsi="Times New Roman" w:cs="Times New Roman"/>
          <w:b w:val="0"/>
          <w:color w:val="auto"/>
        </w:rPr>
        <w:t>,</w:t>
      </w:r>
      <w:bookmarkEnd w:id="6"/>
      <w:bookmarkEnd w:id="7"/>
      <w:r w:rsidR="00931F26">
        <w:rPr>
          <w:rFonts w:ascii="Times New Roman" w:hAnsi="Times New Roman" w:cs="Times New Roman"/>
          <w:b w:val="0"/>
          <w:color w:val="auto"/>
        </w:rPr>
        <w:t xml:space="preserve"> </w:t>
      </w:r>
      <w:r w:rsidR="006A1DF7">
        <w:rPr>
          <w:rFonts w:ascii="Times New Roman" w:hAnsi="Times New Roman" w:cs="Times New Roman"/>
          <w:b w:val="0"/>
          <w:color w:val="auto"/>
        </w:rPr>
        <w:t>osiągając</w:t>
      </w:r>
      <w:r w:rsidR="002A3D67">
        <w:rPr>
          <w:rFonts w:ascii="Times New Roman" w:hAnsi="Times New Roman" w:cs="Times New Roman"/>
          <w:b w:val="0"/>
          <w:color w:val="auto"/>
        </w:rPr>
        <w:t xml:space="preserve"> najwyższą</w:t>
      </w:r>
      <w:r w:rsidR="006A1DF7">
        <w:rPr>
          <w:rFonts w:ascii="Times New Roman" w:hAnsi="Times New Roman" w:cs="Times New Roman"/>
          <w:b w:val="0"/>
          <w:color w:val="auto"/>
        </w:rPr>
        <w:t xml:space="preserve"> ocenę 10 punków.</w:t>
      </w:r>
    </w:p>
    <w:p w14:paraId="550FFB06" w14:textId="77777777" w:rsidR="000333F6" w:rsidRDefault="000333F6" w:rsidP="000333F6"/>
    <w:p w14:paraId="611DF7C9" w14:textId="77777777" w:rsidR="000333F6" w:rsidRDefault="000333F6">
      <w:pPr>
        <w:widowControl/>
        <w:suppressAutoHyphens w:val="0"/>
        <w:jc w:val="both"/>
      </w:pPr>
      <w:r>
        <w:br w:type="page"/>
      </w:r>
    </w:p>
    <w:p w14:paraId="55B7B55B" w14:textId="77777777" w:rsidR="003F45BD" w:rsidRDefault="003F45BD" w:rsidP="002E03E0">
      <w:pPr>
        <w:pStyle w:val="Nagwek3"/>
        <w:numPr>
          <w:ilvl w:val="2"/>
          <w:numId w:val="2"/>
        </w:numPr>
        <w:rPr>
          <w:rFonts w:ascii="Times New Roman" w:hAnsi="Times New Roman" w:cs="Times New Roman"/>
          <w:b w:val="0"/>
          <w:color w:val="auto"/>
        </w:rPr>
      </w:pPr>
      <w:bookmarkStart w:id="8" w:name="_Toc104448287"/>
      <w:r w:rsidRPr="002E03E0">
        <w:rPr>
          <w:rFonts w:ascii="Times New Roman" w:hAnsi="Times New Roman" w:cs="Times New Roman"/>
          <w:b w:val="0"/>
          <w:color w:val="auto"/>
        </w:rPr>
        <w:lastRenderedPageBreak/>
        <w:t>Wskaźniki zadłużenia</w:t>
      </w:r>
      <w:bookmarkEnd w:id="8"/>
    </w:p>
    <w:p w14:paraId="03B54E03" w14:textId="77777777" w:rsidR="006857E2" w:rsidRDefault="006857E2" w:rsidP="006857E2"/>
    <w:p w14:paraId="5D7E766C" w14:textId="77777777" w:rsidR="006857E2" w:rsidRPr="00931F26" w:rsidRDefault="006857E2" w:rsidP="00416069">
      <w:pPr>
        <w:spacing w:line="360" w:lineRule="auto"/>
        <w:jc w:val="both"/>
      </w:pPr>
      <w:r w:rsidRPr="00931F26">
        <w:t>Wskaźnik zadłużenia aktywów (%) informuje o stopniu finansowania aktywów kapitałami obcymi. Zbyt wysoka wartość wskaźnika podważa wiarygodność finansową podmiotu.</w:t>
      </w:r>
    </w:p>
    <w:p w14:paraId="5791E2F4" w14:textId="77777777" w:rsidR="006857E2" w:rsidRPr="00931F26" w:rsidRDefault="006857E2" w:rsidP="00416069">
      <w:pPr>
        <w:spacing w:before="120" w:line="360" w:lineRule="auto"/>
        <w:jc w:val="both"/>
      </w:pPr>
      <w:r w:rsidRPr="00931F26">
        <w:t>Wskaźnik wypłacalności określa wielkość funduszy obcych przypadającą na jednostkę funduszu własnego. Wysoka wartość wskaźnika wskazuje na możliwość utraty zdolności do regulowania przez podmiot zobowiązań.</w:t>
      </w:r>
    </w:p>
    <w:p w14:paraId="12BC7CB1" w14:textId="77777777" w:rsidR="001E3452" w:rsidRDefault="001E3452" w:rsidP="001E3452">
      <w:pPr>
        <w:jc w:val="both"/>
        <w:rPr>
          <w:rFonts w:cs="Arial"/>
          <w:bCs/>
          <w:szCs w:val="24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800"/>
        <w:gridCol w:w="2134"/>
        <w:gridCol w:w="1418"/>
        <w:gridCol w:w="1559"/>
      </w:tblGrid>
      <w:tr w:rsidR="009629D3" w:rsidRPr="009629D3" w14:paraId="691275BD" w14:textId="77777777" w:rsidTr="00055D7F">
        <w:trPr>
          <w:trHeight w:val="300"/>
        </w:trPr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0DA"/>
            <w:vAlign w:val="center"/>
            <w:hideMark/>
          </w:tcPr>
          <w:p w14:paraId="640841CE" w14:textId="77777777" w:rsidR="009629D3" w:rsidRPr="009629D3" w:rsidRDefault="009629D3" w:rsidP="009629D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629D3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WSKAŹNIKI ZADŁUŻENIA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2BD15BD2" w14:textId="77777777" w:rsidR="009629D3" w:rsidRPr="009629D3" w:rsidRDefault="009629D3" w:rsidP="009629D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629D3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WARTOŚĆ WSKAŹNIKA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19BC54EB" w14:textId="77777777" w:rsidR="009629D3" w:rsidRPr="009629D3" w:rsidRDefault="009629D3" w:rsidP="009629D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629D3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OCENA PODMIOTU</w:t>
            </w:r>
          </w:p>
        </w:tc>
      </w:tr>
      <w:tr w:rsidR="009629D3" w:rsidRPr="009629D3" w14:paraId="546782CE" w14:textId="77777777" w:rsidTr="00055D7F">
        <w:trPr>
          <w:trHeight w:val="420"/>
        </w:trPr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5E0EC"/>
            <w:vAlign w:val="center"/>
            <w:hideMark/>
          </w:tcPr>
          <w:p w14:paraId="043BC09C" w14:textId="77777777" w:rsidR="009629D3" w:rsidRPr="009629D3" w:rsidRDefault="009629D3" w:rsidP="009629D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9629D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WSKAŹNIK ZADŁUŻENIA AKTYWÓW (%)      </w:t>
            </w:r>
            <w:r w:rsidRPr="009629D3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                                                                                                           </w:t>
            </w:r>
            <w:r w:rsidR="008D02E6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                            (</w:t>
            </w:r>
            <w:r w:rsidRPr="009629D3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Zobowiązania długoterminowe + zobowiązania krótkoterminowe + rezerwy na zobowiązania) x 100% / Aktywa razem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5E0EC"/>
            <w:vAlign w:val="center"/>
            <w:hideMark/>
          </w:tcPr>
          <w:p w14:paraId="0358D833" w14:textId="77777777" w:rsidR="009629D3" w:rsidRPr="009629D3" w:rsidRDefault="009629D3" w:rsidP="009629D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629D3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026AC07F" w14:textId="77777777" w:rsidR="009629D3" w:rsidRPr="009629D3" w:rsidRDefault="009629D3" w:rsidP="009629D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63636"/>
                <w:sz w:val="26"/>
                <w:szCs w:val="26"/>
                <w:lang w:eastAsia="pl-PL"/>
              </w:rPr>
            </w:pPr>
            <w:r w:rsidRPr="009629D3">
              <w:rPr>
                <w:rFonts w:ascii="Arial" w:eastAsia="Times New Roman" w:hAnsi="Arial" w:cs="Arial"/>
                <w:b/>
                <w:bCs/>
                <w:color w:val="363636"/>
                <w:sz w:val="26"/>
                <w:szCs w:val="26"/>
                <w:lang w:eastAsia="pl-PL"/>
              </w:rPr>
              <w:t> </w:t>
            </w:r>
          </w:p>
        </w:tc>
      </w:tr>
      <w:tr w:rsidR="009629D3" w:rsidRPr="009629D3" w14:paraId="6D98FFAF" w14:textId="77777777" w:rsidTr="00055D7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FB4C" w14:textId="77777777" w:rsidR="009629D3" w:rsidRPr="009629D3" w:rsidRDefault="00601FA9" w:rsidP="009629D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Lp</w:t>
            </w:r>
            <w:r w:rsidRPr="006D2E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50A7" w14:textId="77777777" w:rsidR="009629D3" w:rsidRPr="009629D3" w:rsidRDefault="009629D3" w:rsidP="009629D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629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PRZEDZIAŁY WARTOŚCI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CD96E" w14:textId="77777777" w:rsidR="009629D3" w:rsidRPr="009629D3" w:rsidRDefault="009629D3" w:rsidP="009629D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629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OCENA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24BB" w14:textId="5950A4BD" w:rsidR="009629D3" w:rsidRPr="009629D3" w:rsidRDefault="009629D3" w:rsidP="009629D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629D3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BB4A37">
              <w:rPr>
                <w:rFonts w:ascii="Arial" w:eastAsia="Times New Roman" w:hAnsi="Arial" w:cs="Arial"/>
                <w:sz w:val="20"/>
                <w:lang w:eastAsia="pl-PL"/>
              </w:rPr>
              <w:t>4</w:t>
            </w:r>
            <w:r w:rsidR="00601B55">
              <w:rPr>
                <w:rFonts w:ascii="Arial" w:eastAsia="Times New Roman" w:hAnsi="Arial" w:cs="Arial"/>
                <w:sz w:val="20"/>
                <w:lang w:eastAsia="pl-PL"/>
              </w:rPr>
              <w:t>1,99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F69E" w14:textId="77777777" w:rsidR="009629D3" w:rsidRPr="009629D3" w:rsidRDefault="00BB4A37" w:rsidP="009629D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63636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63636"/>
                <w:szCs w:val="22"/>
                <w:lang w:eastAsia="pl-PL"/>
              </w:rPr>
              <w:t>8</w:t>
            </w:r>
          </w:p>
        </w:tc>
      </w:tr>
      <w:tr w:rsidR="009629D3" w:rsidRPr="009629D3" w14:paraId="0CF1C919" w14:textId="77777777" w:rsidTr="00055D7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D92F" w14:textId="77777777" w:rsidR="009629D3" w:rsidRPr="009629D3" w:rsidRDefault="009629D3" w:rsidP="009629D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629D3">
              <w:rPr>
                <w:rFonts w:ascii="Arial" w:eastAsia="Times New Roman" w:hAnsi="Arial" w:cs="Arial"/>
                <w:sz w:val="20"/>
                <w:lang w:eastAsia="pl-PL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9640" w14:textId="77777777" w:rsidR="009629D3" w:rsidRPr="009629D3" w:rsidRDefault="009629D3" w:rsidP="009629D3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629D3">
              <w:rPr>
                <w:rFonts w:ascii="Arial" w:eastAsia="Times New Roman" w:hAnsi="Arial" w:cs="Arial"/>
                <w:sz w:val="20"/>
                <w:lang w:eastAsia="pl-PL"/>
              </w:rPr>
              <w:t>poniżej 40%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5D53D" w14:textId="77777777" w:rsidR="009629D3" w:rsidRPr="009629D3" w:rsidRDefault="009629D3" w:rsidP="009629D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629D3">
              <w:rPr>
                <w:rFonts w:ascii="Arial" w:eastAsia="Times New Roman" w:hAnsi="Arial" w:cs="Arial"/>
                <w:sz w:val="20"/>
                <w:lang w:eastAsia="pl-PL"/>
              </w:rPr>
              <w:t>10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63A5" w14:textId="77777777" w:rsidR="009629D3" w:rsidRPr="009629D3" w:rsidRDefault="009629D3" w:rsidP="009629D3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58CA7" w14:textId="77777777" w:rsidR="009629D3" w:rsidRPr="009629D3" w:rsidRDefault="009629D3" w:rsidP="009629D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363636"/>
                <w:szCs w:val="22"/>
                <w:lang w:eastAsia="pl-PL"/>
              </w:rPr>
            </w:pPr>
          </w:p>
        </w:tc>
      </w:tr>
      <w:tr w:rsidR="009629D3" w:rsidRPr="009629D3" w14:paraId="25C02AE4" w14:textId="77777777" w:rsidTr="00055D7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832C" w14:textId="77777777" w:rsidR="009629D3" w:rsidRPr="009629D3" w:rsidRDefault="009629D3" w:rsidP="009629D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629D3">
              <w:rPr>
                <w:rFonts w:ascii="Arial" w:eastAsia="Times New Roman" w:hAnsi="Arial" w:cs="Arial"/>
                <w:sz w:val="20"/>
                <w:lang w:eastAsia="pl-PL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0694" w14:textId="77777777" w:rsidR="009629D3" w:rsidRPr="009629D3" w:rsidRDefault="009629D3" w:rsidP="009629D3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629D3">
              <w:rPr>
                <w:rFonts w:ascii="Arial" w:eastAsia="Times New Roman" w:hAnsi="Arial" w:cs="Arial"/>
                <w:sz w:val="20"/>
                <w:lang w:eastAsia="pl-PL"/>
              </w:rPr>
              <w:t>od 40% do 60 %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61C35" w14:textId="77777777" w:rsidR="009629D3" w:rsidRPr="009629D3" w:rsidRDefault="009629D3" w:rsidP="009629D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629D3">
              <w:rPr>
                <w:rFonts w:ascii="Arial" w:eastAsia="Times New Roman" w:hAnsi="Arial" w:cs="Arial"/>
                <w:sz w:val="20"/>
                <w:lang w:eastAsia="pl-PL"/>
              </w:rPr>
              <w:t>8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D8D2" w14:textId="77777777" w:rsidR="009629D3" w:rsidRPr="009629D3" w:rsidRDefault="009629D3" w:rsidP="009629D3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ED9A4" w14:textId="77777777" w:rsidR="009629D3" w:rsidRPr="009629D3" w:rsidRDefault="009629D3" w:rsidP="009629D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363636"/>
                <w:szCs w:val="22"/>
                <w:lang w:eastAsia="pl-PL"/>
              </w:rPr>
            </w:pPr>
          </w:p>
        </w:tc>
      </w:tr>
      <w:tr w:rsidR="009629D3" w:rsidRPr="009629D3" w14:paraId="5FB6A410" w14:textId="77777777" w:rsidTr="00055D7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3D26" w14:textId="77777777" w:rsidR="009629D3" w:rsidRPr="009629D3" w:rsidRDefault="009629D3" w:rsidP="009629D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629D3">
              <w:rPr>
                <w:rFonts w:ascii="Arial" w:eastAsia="Times New Roman" w:hAnsi="Arial" w:cs="Arial"/>
                <w:sz w:val="20"/>
                <w:lang w:eastAsia="pl-PL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D038" w14:textId="77777777" w:rsidR="009629D3" w:rsidRPr="009629D3" w:rsidRDefault="009629D3" w:rsidP="009629D3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629D3">
              <w:rPr>
                <w:rFonts w:ascii="Arial" w:eastAsia="Times New Roman" w:hAnsi="Arial" w:cs="Arial"/>
                <w:sz w:val="20"/>
                <w:lang w:eastAsia="pl-PL"/>
              </w:rPr>
              <w:t>powyżej 60% do 80%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8C005" w14:textId="77777777" w:rsidR="009629D3" w:rsidRPr="009629D3" w:rsidRDefault="009629D3" w:rsidP="009629D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629D3">
              <w:rPr>
                <w:rFonts w:ascii="Arial" w:eastAsia="Times New Roman" w:hAnsi="Arial" w:cs="Arial"/>
                <w:sz w:val="20"/>
                <w:lang w:eastAsia="pl-PL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B6B31" w14:textId="77777777" w:rsidR="009629D3" w:rsidRPr="009629D3" w:rsidRDefault="009629D3" w:rsidP="009629D3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F585" w14:textId="77777777" w:rsidR="009629D3" w:rsidRPr="009629D3" w:rsidRDefault="009629D3" w:rsidP="009629D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363636"/>
                <w:szCs w:val="22"/>
                <w:lang w:eastAsia="pl-PL"/>
              </w:rPr>
            </w:pPr>
          </w:p>
        </w:tc>
      </w:tr>
      <w:tr w:rsidR="009629D3" w:rsidRPr="009629D3" w14:paraId="735E412C" w14:textId="77777777" w:rsidTr="00055D7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F537" w14:textId="77777777" w:rsidR="009629D3" w:rsidRPr="009629D3" w:rsidRDefault="009629D3" w:rsidP="009629D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629D3">
              <w:rPr>
                <w:rFonts w:ascii="Arial" w:eastAsia="Times New Roman" w:hAnsi="Arial" w:cs="Arial"/>
                <w:sz w:val="20"/>
                <w:lang w:eastAsia="pl-PL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4568" w14:textId="77777777" w:rsidR="009629D3" w:rsidRPr="009629D3" w:rsidRDefault="009629D3" w:rsidP="009629D3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629D3">
              <w:rPr>
                <w:rFonts w:ascii="Arial" w:eastAsia="Times New Roman" w:hAnsi="Arial" w:cs="Arial"/>
                <w:sz w:val="20"/>
                <w:lang w:eastAsia="pl-PL"/>
              </w:rPr>
              <w:t>powyżej 80%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F5529" w14:textId="77777777" w:rsidR="009629D3" w:rsidRPr="009629D3" w:rsidRDefault="009629D3" w:rsidP="009629D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629D3">
              <w:rPr>
                <w:rFonts w:ascii="Arial" w:eastAsia="Times New Roman" w:hAnsi="Arial" w:cs="Arial"/>
                <w:sz w:val="20"/>
                <w:lang w:eastAsia="pl-PL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F071" w14:textId="77777777" w:rsidR="009629D3" w:rsidRPr="009629D3" w:rsidRDefault="009629D3" w:rsidP="009629D3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F0420" w14:textId="77777777" w:rsidR="009629D3" w:rsidRPr="009629D3" w:rsidRDefault="009629D3" w:rsidP="009629D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363636"/>
                <w:szCs w:val="22"/>
                <w:lang w:eastAsia="pl-PL"/>
              </w:rPr>
            </w:pPr>
          </w:p>
        </w:tc>
      </w:tr>
      <w:tr w:rsidR="009629D3" w:rsidRPr="009629D3" w14:paraId="6956AC81" w14:textId="77777777" w:rsidTr="00055D7F">
        <w:trPr>
          <w:trHeight w:val="405"/>
        </w:trPr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5E0EC"/>
            <w:vAlign w:val="center"/>
            <w:hideMark/>
          </w:tcPr>
          <w:p w14:paraId="01F73770" w14:textId="77777777" w:rsidR="009629D3" w:rsidRPr="009629D3" w:rsidRDefault="009629D3" w:rsidP="009629D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9629D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WSKAŹNIK WYPŁACALNOŚCI</w:t>
            </w:r>
            <w:r w:rsidRPr="009629D3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(Zobowiązania długoterminowe + zobowiązania krótkoterminowe + rezerwy na zobowiązania</w:t>
            </w:r>
            <w:r w:rsidR="00914458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)</w:t>
            </w:r>
            <w:r w:rsidRPr="009629D3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/ Fundusz własny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5E0EC"/>
            <w:vAlign w:val="center"/>
            <w:hideMark/>
          </w:tcPr>
          <w:p w14:paraId="0416804F" w14:textId="77777777" w:rsidR="009629D3" w:rsidRPr="009629D3" w:rsidRDefault="009629D3" w:rsidP="009629D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629D3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6E450827" w14:textId="77777777" w:rsidR="009629D3" w:rsidRPr="009629D3" w:rsidRDefault="009629D3" w:rsidP="009629D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63636"/>
                <w:sz w:val="26"/>
                <w:szCs w:val="26"/>
                <w:lang w:eastAsia="pl-PL"/>
              </w:rPr>
            </w:pPr>
            <w:r w:rsidRPr="009629D3">
              <w:rPr>
                <w:rFonts w:ascii="Arial" w:eastAsia="Times New Roman" w:hAnsi="Arial" w:cs="Arial"/>
                <w:b/>
                <w:bCs/>
                <w:color w:val="363636"/>
                <w:sz w:val="26"/>
                <w:szCs w:val="26"/>
                <w:lang w:eastAsia="pl-PL"/>
              </w:rPr>
              <w:t> </w:t>
            </w:r>
          </w:p>
        </w:tc>
      </w:tr>
      <w:tr w:rsidR="009629D3" w:rsidRPr="009629D3" w14:paraId="74BCAD4B" w14:textId="77777777" w:rsidTr="00055D7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B498" w14:textId="77777777" w:rsidR="009629D3" w:rsidRPr="009629D3" w:rsidRDefault="00601FA9" w:rsidP="009629D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Lp</w:t>
            </w:r>
            <w:r w:rsidRPr="006D2E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FBFE" w14:textId="77777777" w:rsidR="009629D3" w:rsidRPr="009629D3" w:rsidRDefault="009629D3" w:rsidP="009629D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629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PRZEDZIAŁY WARTOŚCI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4011C5" w14:textId="77777777" w:rsidR="009629D3" w:rsidRPr="009629D3" w:rsidRDefault="009629D3" w:rsidP="009629D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629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OCENA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68BE3" w14:textId="77777777" w:rsidR="009629D3" w:rsidRPr="009629D3" w:rsidRDefault="009629D3" w:rsidP="009629D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629D3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245C" w14:textId="77777777" w:rsidR="009629D3" w:rsidRPr="009629D3" w:rsidRDefault="009629D3" w:rsidP="009629D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63636"/>
                <w:szCs w:val="22"/>
                <w:lang w:eastAsia="pl-PL"/>
              </w:rPr>
            </w:pPr>
            <w:r w:rsidRPr="009629D3">
              <w:rPr>
                <w:rFonts w:ascii="Arial" w:eastAsia="Times New Roman" w:hAnsi="Arial" w:cs="Arial"/>
                <w:b/>
                <w:bCs/>
                <w:color w:val="363636"/>
                <w:sz w:val="22"/>
                <w:szCs w:val="22"/>
                <w:lang w:eastAsia="pl-PL"/>
              </w:rPr>
              <w:t> </w:t>
            </w:r>
          </w:p>
        </w:tc>
      </w:tr>
      <w:tr w:rsidR="009629D3" w:rsidRPr="009629D3" w14:paraId="61D0C585" w14:textId="77777777" w:rsidTr="00055D7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1F38" w14:textId="77777777" w:rsidR="009629D3" w:rsidRPr="009629D3" w:rsidRDefault="009629D3" w:rsidP="009629D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629D3">
              <w:rPr>
                <w:rFonts w:ascii="Arial" w:eastAsia="Times New Roman" w:hAnsi="Arial" w:cs="Arial"/>
                <w:sz w:val="20"/>
                <w:lang w:eastAsia="pl-PL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5C52" w14:textId="77777777" w:rsidR="009629D3" w:rsidRPr="009629D3" w:rsidRDefault="009629D3" w:rsidP="009629D3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629D3">
              <w:rPr>
                <w:rFonts w:ascii="Arial" w:eastAsia="Times New Roman" w:hAnsi="Arial" w:cs="Arial"/>
                <w:sz w:val="20"/>
                <w:lang w:eastAsia="pl-PL"/>
              </w:rPr>
              <w:t>od 0,00 do 0,50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D7960" w14:textId="77777777" w:rsidR="009629D3" w:rsidRPr="009629D3" w:rsidRDefault="009629D3" w:rsidP="009629D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629D3">
              <w:rPr>
                <w:rFonts w:ascii="Arial" w:eastAsia="Times New Roman" w:hAnsi="Arial" w:cs="Arial"/>
                <w:sz w:val="2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62B92" w14:textId="77777777" w:rsidR="009629D3" w:rsidRPr="009629D3" w:rsidRDefault="009629D3" w:rsidP="009629D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629D3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55C1" w14:textId="77777777" w:rsidR="009629D3" w:rsidRPr="009629D3" w:rsidRDefault="009629D3" w:rsidP="009629D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63636"/>
                <w:szCs w:val="22"/>
                <w:lang w:eastAsia="pl-PL"/>
              </w:rPr>
            </w:pPr>
            <w:r w:rsidRPr="009629D3">
              <w:rPr>
                <w:rFonts w:ascii="Arial" w:eastAsia="Times New Roman" w:hAnsi="Arial" w:cs="Arial"/>
                <w:b/>
                <w:bCs/>
                <w:color w:val="363636"/>
                <w:sz w:val="22"/>
                <w:szCs w:val="22"/>
                <w:lang w:eastAsia="pl-PL"/>
              </w:rPr>
              <w:t> </w:t>
            </w:r>
          </w:p>
        </w:tc>
      </w:tr>
      <w:tr w:rsidR="009629D3" w:rsidRPr="009629D3" w14:paraId="5F1617FF" w14:textId="77777777" w:rsidTr="00055D7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7BA0" w14:textId="77777777" w:rsidR="009629D3" w:rsidRPr="009629D3" w:rsidRDefault="009629D3" w:rsidP="009629D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629D3">
              <w:rPr>
                <w:rFonts w:ascii="Arial" w:eastAsia="Times New Roman" w:hAnsi="Arial" w:cs="Arial"/>
                <w:sz w:val="20"/>
                <w:lang w:eastAsia="pl-PL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69B7" w14:textId="77777777" w:rsidR="009629D3" w:rsidRPr="009629D3" w:rsidRDefault="009629D3" w:rsidP="009629D3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629D3">
              <w:rPr>
                <w:rFonts w:ascii="Arial" w:eastAsia="Times New Roman" w:hAnsi="Arial" w:cs="Arial"/>
                <w:sz w:val="20"/>
                <w:lang w:eastAsia="pl-PL"/>
              </w:rPr>
              <w:t>od 0,51 do 1,00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15AFB" w14:textId="77777777" w:rsidR="009629D3" w:rsidRPr="009629D3" w:rsidRDefault="009629D3" w:rsidP="009629D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629D3">
              <w:rPr>
                <w:rFonts w:ascii="Arial" w:eastAsia="Times New Roman" w:hAnsi="Arial" w:cs="Arial"/>
                <w:sz w:val="20"/>
                <w:lang w:eastAsia="pl-PL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C56A8" w14:textId="77777777" w:rsidR="009629D3" w:rsidRPr="009629D3" w:rsidRDefault="009629D3" w:rsidP="009629D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629D3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2E17" w14:textId="77777777" w:rsidR="009629D3" w:rsidRPr="009629D3" w:rsidRDefault="009629D3" w:rsidP="009629D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63636"/>
                <w:szCs w:val="22"/>
                <w:lang w:eastAsia="pl-PL"/>
              </w:rPr>
            </w:pPr>
            <w:r w:rsidRPr="009629D3">
              <w:rPr>
                <w:rFonts w:ascii="Arial" w:eastAsia="Times New Roman" w:hAnsi="Arial" w:cs="Arial"/>
                <w:b/>
                <w:bCs/>
                <w:color w:val="363636"/>
                <w:sz w:val="22"/>
                <w:szCs w:val="22"/>
                <w:lang w:eastAsia="pl-PL"/>
              </w:rPr>
              <w:t> </w:t>
            </w:r>
          </w:p>
        </w:tc>
      </w:tr>
      <w:tr w:rsidR="009629D3" w:rsidRPr="009629D3" w14:paraId="52B7724B" w14:textId="77777777" w:rsidTr="00055D7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8459" w14:textId="77777777" w:rsidR="009629D3" w:rsidRPr="009629D3" w:rsidRDefault="009629D3" w:rsidP="009629D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629D3">
              <w:rPr>
                <w:rFonts w:ascii="Arial" w:eastAsia="Times New Roman" w:hAnsi="Arial" w:cs="Arial"/>
                <w:sz w:val="20"/>
                <w:lang w:eastAsia="pl-PL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4E0F" w14:textId="77777777" w:rsidR="009629D3" w:rsidRPr="009629D3" w:rsidRDefault="009629D3" w:rsidP="009629D3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629D3">
              <w:rPr>
                <w:rFonts w:ascii="Arial" w:eastAsia="Times New Roman" w:hAnsi="Arial" w:cs="Arial"/>
                <w:sz w:val="20"/>
                <w:lang w:eastAsia="pl-PL"/>
              </w:rPr>
              <w:t>od 1,01 do 2,00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45584" w14:textId="77777777" w:rsidR="009629D3" w:rsidRPr="009629D3" w:rsidRDefault="009629D3" w:rsidP="009629D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629D3">
              <w:rPr>
                <w:rFonts w:ascii="Arial" w:eastAsia="Times New Roman" w:hAnsi="Arial" w:cs="Arial"/>
                <w:sz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1680B" w14:textId="372D37AB" w:rsidR="009629D3" w:rsidRPr="009629D3" w:rsidRDefault="00984C3A" w:rsidP="009629D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1,</w:t>
            </w:r>
            <w:r w:rsidR="00601B55">
              <w:rPr>
                <w:rFonts w:ascii="Arial" w:eastAsia="Times New Roman" w:hAnsi="Arial" w:cs="Arial"/>
                <w:sz w:val="20"/>
                <w:lang w:eastAsia="pl-PL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4596" w14:textId="26CD2B6B" w:rsidR="009629D3" w:rsidRPr="009629D3" w:rsidRDefault="00984C3A" w:rsidP="009629D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63636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63636"/>
                <w:sz w:val="22"/>
                <w:szCs w:val="22"/>
                <w:lang w:eastAsia="pl-PL"/>
              </w:rPr>
              <w:t>6</w:t>
            </w:r>
          </w:p>
        </w:tc>
      </w:tr>
      <w:tr w:rsidR="009629D3" w:rsidRPr="009629D3" w14:paraId="3E892207" w14:textId="77777777" w:rsidTr="00055D7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892D" w14:textId="77777777" w:rsidR="009629D3" w:rsidRPr="009629D3" w:rsidRDefault="009629D3" w:rsidP="009629D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629D3">
              <w:rPr>
                <w:rFonts w:ascii="Arial" w:eastAsia="Times New Roman" w:hAnsi="Arial" w:cs="Arial"/>
                <w:sz w:val="20"/>
                <w:lang w:eastAsia="pl-PL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6CB2" w14:textId="77777777" w:rsidR="009629D3" w:rsidRPr="009629D3" w:rsidRDefault="009629D3" w:rsidP="009629D3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629D3">
              <w:rPr>
                <w:rFonts w:ascii="Arial" w:eastAsia="Times New Roman" w:hAnsi="Arial" w:cs="Arial"/>
                <w:sz w:val="20"/>
                <w:lang w:eastAsia="pl-PL"/>
              </w:rPr>
              <w:t>od 2,01 do 4,00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DD156" w14:textId="77777777" w:rsidR="009629D3" w:rsidRPr="009629D3" w:rsidRDefault="009629D3" w:rsidP="009629D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629D3">
              <w:rPr>
                <w:rFonts w:ascii="Arial" w:eastAsia="Times New Roman" w:hAnsi="Arial" w:cs="Arial"/>
                <w:sz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4C701" w14:textId="77777777" w:rsidR="009629D3" w:rsidRPr="009629D3" w:rsidRDefault="009629D3" w:rsidP="009629D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629D3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4776" w14:textId="77777777" w:rsidR="009629D3" w:rsidRPr="009629D3" w:rsidRDefault="009629D3" w:rsidP="009629D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63636"/>
                <w:szCs w:val="22"/>
                <w:lang w:eastAsia="pl-PL"/>
              </w:rPr>
            </w:pPr>
            <w:r w:rsidRPr="009629D3">
              <w:rPr>
                <w:rFonts w:ascii="Arial" w:eastAsia="Times New Roman" w:hAnsi="Arial" w:cs="Arial"/>
                <w:b/>
                <w:bCs/>
                <w:color w:val="363636"/>
                <w:sz w:val="22"/>
                <w:szCs w:val="22"/>
                <w:lang w:eastAsia="pl-PL"/>
              </w:rPr>
              <w:t> </w:t>
            </w:r>
          </w:p>
        </w:tc>
      </w:tr>
      <w:tr w:rsidR="009629D3" w:rsidRPr="009629D3" w14:paraId="47AB55F9" w14:textId="77777777" w:rsidTr="00055D7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4E2C" w14:textId="77777777" w:rsidR="009629D3" w:rsidRPr="009629D3" w:rsidRDefault="009629D3" w:rsidP="009629D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629D3">
              <w:rPr>
                <w:rFonts w:ascii="Arial" w:eastAsia="Times New Roman" w:hAnsi="Arial" w:cs="Arial"/>
                <w:sz w:val="20"/>
                <w:lang w:eastAsia="pl-PL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2B4F1" w14:textId="77777777" w:rsidR="009629D3" w:rsidRPr="009629D3" w:rsidRDefault="009629D3" w:rsidP="009629D3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629D3">
              <w:rPr>
                <w:rFonts w:ascii="Arial" w:eastAsia="Times New Roman" w:hAnsi="Arial" w:cs="Arial"/>
                <w:sz w:val="20"/>
                <w:lang w:eastAsia="pl-PL"/>
              </w:rPr>
              <w:t>powyżej 4,00 lub poniżej 0,00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45BEA" w14:textId="77777777" w:rsidR="009629D3" w:rsidRPr="009629D3" w:rsidRDefault="009629D3" w:rsidP="009629D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629D3">
              <w:rPr>
                <w:rFonts w:ascii="Arial" w:eastAsia="Times New Roman" w:hAnsi="Arial" w:cs="Arial"/>
                <w:sz w:val="20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6FC17" w14:textId="77777777" w:rsidR="009629D3" w:rsidRPr="009629D3" w:rsidRDefault="009629D3" w:rsidP="009629D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629D3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079F" w14:textId="77777777" w:rsidR="009629D3" w:rsidRPr="009629D3" w:rsidRDefault="009629D3" w:rsidP="009629D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63636"/>
                <w:szCs w:val="22"/>
                <w:lang w:eastAsia="pl-PL"/>
              </w:rPr>
            </w:pPr>
            <w:r w:rsidRPr="009629D3">
              <w:rPr>
                <w:rFonts w:ascii="Arial" w:eastAsia="Times New Roman" w:hAnsi="Arial" w:cs="Arial"/>
                <w:b/>
                <w:bCs/>
                <w:color w:val="363636"/>
                <w:sz w:val="22"/>
                <w:szCs w:val="22"/>
                <w:lang w:eastAsia="pl-PL"/>
              </w:rPr>
              <w:t> </w:t>
            </w:r>
          </w:p>
        </w:tc>
      </w:tr>
    </w:tbl>
    <w:p w14:paraId="130E0B00" w14:textId="77777777" w:rsidR="001E3452" w:rsidRDefault="001E3452" w:rsidP="001E3452">
      <w:pPr>
        <w:jc w:val="both"/>
        <w:rPr>
          <w:rFonts w:cs="Arial"/>
          <w:bCs/>
          <w:szCs w:val="24"/>
        </w:rPr>
      </w:pPr>
    </w:p>
    <w:p w14:paraId="1CC8B4CD" w14:textId="45098A0F" w:rsidR="001E3452" w:rsidRPr="00931F26" w:rsidRDefault="005A00FE" w:rsidP="00800F99">
      <w:pPr>
        <w:spacing w:line="360" w:lineRule="auto"/>
        <w:jc w:val="both"/>
        <w:rPr>
          <w:rFonts w:cs="Arial"/>
          <w:bCs/>
          <w:szCs w:val="24"/>
        </w:rPr>
      </w:pPr>
      <w:r w:rsidRPr="00D55DD4">
        <w:rPr>
          <w:rFonts w:cs="Arial"/>
          <w:bCs/>
          <w:szCs w:val="24"/>
        </w:rPr>
        <w:t>Wskaźniki zadłużenia przyjęły wartości kwalifikujące do przedziałów w pozycjach nr</w:t>
      </w:r>
      <w:r w:rsidR="007F2A92" w:rsidRPr="00D55DD4">
        <w:rPr>
          <w:rFonts w:cs="Arial"/>
          <w:bCs/>
          <w:szCs w:val="24"/>
        </w:rPr>
        <w:t xml:space="preserve"> </w:t>
      </w:r>
      <w:r w:rsidR="00BB4A37">
        <w:rPr>
          <w:rFonts w:cs="Arial"/>
          <w:bCs/>
          <w:szCs w:val="24"/>
        </w:rPr>
        <w:t>2</w:t>
      </w:r>
      <w:r w:rsidR="007F2A92" w:rsidRPr="00D55DD4">
        <w:rPr>
          <w:rFonts w:cs="Arial"/>
          <w:bCs/>
          <w:szCs w:val="24"/>
        </w:rPr>
        <w:t xml:space="preserve"> i</w:t>
      </w:r>
      <w:r w:rsidRPr="00D55DD4">
        <w:rPr>
          <w:rFonts w:cs="Arial"/>
          <w:bCs/>
          <w:szCs w:val="24"/>
        </w:rPr>
        <w:t xml:space="preserve"> </w:t>
      </w:r>
      <w:r w:rsidR="00984C3A">
        <w:rPr>
          <w:rFonts w:cs="Arial"/>
          <w:bCs/>
          <w:szCs w:val="24"/>
        </w:rPr>
        <w:t>3</w:t>
      </w:r>
      <w:r w:rsidR="00931F26">
        <w:rPr>
          <w:rFonts w:cs="Arial"/>
          <w:bCs/>
          <w:szCs w:val="24"/>
        </w:rPr>
        <w:t>.</w:t>
      </w:r>
      <w:r w:rsidR="00D55DD4" w:rsidRPr="00D55DD4">
        <w:rPr>
          <w:rFonts w:cs="Arial"/>
          <w:bCs/>
          <w:szCs w:val="24"/>
        </w:rPr>
        <w:t xml:space="preserve"> </w:t>
      </w:r>
      <w:r w:rsidR="00D55DD4" w:rsidRPr="00931F26">
        <w:rPr>
          <w:rFonts w:cs="Arial"/>
          <w:bCs/>
          <w:szCs w:val="24"/>
        </w:rPr>
        <w:t>Wskaźnik zadłużenia aktywów świadczy o prawidłowym stosunku między kapitałem własnym a</w:t>
      </w:r>
      <w:r w:rsidR="005316DB">
        <w:rPr>
          <w:rFonts w:cs="Arial"/>
          <w:bCs/>
          <w:szCs w:val="24"/>
        </w:rPr>
        <w:t> </w:t>
      </w:r>
      <w:r w:rsidR="00D55DD4" w:rsidRPr="00931F26">
        <w:rPr>
          <w:rFonts w:cs="Arial"/>
          <w:bCs/>
          <w:szCs w:val="24"/>
        </w:rPr>
        <w:t xml:space="preserve">obcym. </w:t>
      </w:r>
      <w:r w:rsidR="006A1DF7">
        <w:rPr>
          <w:rFonts w:cs="Arial"/>
          <w:bCs/>
          <w:szCs w:val="24"/>
        </w:rPr>
        <w:t>W porównaniu do roku 202</w:t>
      </w:r>
      <w:r w:rsidR="00601B55">
        <w:rPr>
          <w:rFonts w:cs="Arial"/>
          <w:bCs/>
          <w:szCs w:val="24"/>
        </w:rPr>
        <w:t>2</w:t>
      </w:r>
      <w:r w:rsidR="00931F26">
        <w:rPr>
          <w:rFonts w:cs="Arial"/>
          <w:bCs/>
          <w:szCs w:val="24"/>
        </w:rPr>
        <w:t xml:space="preserve"> </w:t>
      </w:r>
      <w:r w:rsidR="00984C3A">
        <w:rPr>
          <w:rFonts w:cs="Arial"/>
          <w:bCs/>
          <w:szCs w:val="24"/>
        </w:rPr>
        <w:t xml:space="preserve"> zarówno </w:t>
      </w:r>
      <w:r w:rsidR="006A1DF7">
        <w:rPr>
          <w:rFonts w:cs="Arial"/>
          <w:bCs/>
          <w:szCs w:val="24"/>
        </w:rPr>
        <w:t>w</w:t>
      </w:r>
      <w:r w:rsidR="006F4935">
        <w:rPr>
          <w:rFonts w:cs="Arial"/>
          <w:bCs/>
          <w:szCs w:val="24"/>
        </w:rPr>
        <w:t>skaźnik wypłacalności</w:t>
      </w:r>
      <w:r w:rsidR="00984C3A">
        <w:rPr>
          <w:rFonts w:cs="Arial"/>
          <w:bCs/>
          <w:szCs w:val="24"/>
        </w:rPr>
        <w:t>, jak i wskaźnik zadłużenia aktywów</w:t>
      </w:r>
      <w:r w:rsidR="006F4935">
        <w:rPr>
          <w:rFonts w:cs="Arial"/>
          <w:bCs/>
          <w:szCs w:val="24"/>
        </w:rPr>
        <w:t xml:space="preserve"> utrzymał</w:t>
      </w:r>
      <w:r w:rsidR="00E61317">
        <w:rPr>
          <w:rFonts w:cs="Arial"/>
          <w:bCs/>
          <w:szCs w:val="24"/>
        </w:rPr>
        <w:t>y</w:t>
      </w:r>
      <w:r w:rsidR="006F4935">
        <w:rPr>
          <w:rFonts w:cs="Arial"/>
          <w:bCs/>
          <w:szCs w:val="24"/>
        </w:rPr>
        <w:t xml:space="preserve"> się w tym samym przedziale punktowym, </w:t>
      </w:r>
      <w:r w:rsidR="00984C3A">
        <w:rPr>
          <w:rFonts w:cs="Arial"/>
          <w:bCs/>
          <w:szCs w:val="24"/>
        </w:rPr>
        <w:t>któr</w:t>
      </w:r>
      <w:r w:rsidR="002D7A5C">
        <w:rPr>
          <w:rFonts w:cs="Arial"/>
          <w:bCs/>
          <w:szCs w:val="24"/>
        </w:rPr>
        <w:t>y</w:t>
      </w:r>
      <w:r w:rsidR="00984C3A">
        <w:rPr>
          <w:rFonts w:cs="Arial"/>
          <w:bCs/>
          <w:szCs w:val="24"/>
        </w:rPr>
        <w:t xml:space="preserve"> wynosi 14.</w:t>
      </w:r>
    </w:p>
    <w:p w14:paraId="5ACCDFFB" w14:textId="77777777" w:rsidR="00BC68A0" w:rsidRDefault="00BC68A0">
      <w:pPr>
        <w:widowControl/>
        <w:suppressAutoHyphens w:val="0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br w:type="page"/>
      </w:r>
    </w:p>
    <w:p w14:paraId="00B99347" w14:textId="77777777" w:rsidR="00380C20" w:rsidRPr="00380C20" w:rsidRDefault="00380C20" w:rsidP="00380C20">
      <w:pPr>
        <w:pStyle w:val="Nagwek2"/>
        <w:numPr>
          <w:ilvl w:val="1"/>
          <w:numId w:val="4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</w:t>
      </w:r>
      <w:bookmarkStart w:id="9" w:name="_Toc104448288"/>
      <w:r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864167">
        <w:rPr>
          <w:rFonts w:ascii="Times New Roman" w:hAnsi="Times New Roman" w:cs="Times New Roman"/>
          <w:color w:val="auto"/>
          <w:sz w:val="24"/>
          <w:szCs w:val="24"/>
        </w:rPr>
        <w:t>cen</w:t>
      </w:r>
      <w:r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8641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wskaźnikowa </w:t>
      </w:r>
      <w:r w:rsidRPr="00281D90">
        <w:rPr>
          <w:rFonts w:ascii="Times New Roman" w:hAnsi="Times New Roman" w:cs="Times New Roman"/>
          <w:color w:val="auto"/>
          <w:sz w:val="24"/>
          <w:szCs w:val="24"/>
        </w:rPr>
        <w:t xml:space="preserve">sytuacji </w:t>
      </w:r>
      <w:proofErr w:type="spellStart"/>
      <w:r w:rsidRPr="00281D90">
        <w:rPr>
          <w:rFonts w:ascii="Times New Roman" w:hAnsi="Times New Roman" w:cs="Times New Roman"/>
          <w:color w:val="auto"/>
          <w:sz w:val="24"/>
          <w:szCs w:val="24"/>
        </w:rPr>
        <w:t>ekonomiczno</w:t>
      </w:r>
      <w:proofErr w:type="spellEnd"/>
      <w:r w:rsidRPr="00281D90">
        <w:rPr>
          <w:rFonts w:ascii="Times New Roman" w:hAnsi="Times New Roman" w:cs="Times New Roman"/>
          <w:color w:val="auto"/>
          <w:sz w:val="24"/>
          <w:szCs w:val="24"/>
        </w:rPr>
        <w:t xml:space="preserve"> – finansowej samodzielnego publicznego zakładu opieki zdrowotnej</w:t>
      </w:r>
      <w:bookmarkEnd w:id="9"/>
    </w:p>
    <w:p w14:paraId="6A53BE44" w14:textId="77777777" w:rsidR="00380C20" w:rsidRPr="00380C20" w:rsidRDefault="00380C20" w:rsidP="00380C20"/>
    <w:p w14:paraId="29B72EBE" w14:textId="77777777" w:rsidR="00380C20" w:rsidRPr="00380C20" w:rsidRDefault="00380C20" w:rsidP="00380C20"/>
    <w:p w14:paraId="7388ED83" w14:textId="77777777" w:rsidR="00380C20" w:rsidRDefault="00380C20" w:rsidP="00380C20">
      <w:pPr>
        <w:pStyle w:val="Akapitzlist"/>
        <w:ind w:left="1080"/>
        <w:jc w:val="both"/>
        <w:rPr>
          <w:rFonts w:cs="Arial"/>
          <w:b/>
          <w:bCs/>
          <w:szCs w:val="24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4905"/>
        <w:gridCol w:w="1560"/>
        <w:gridCol w:w="992"/>
      </w:tblGrid>
      <w:tr w:rsidR="00380C20" w:rsidRPr="006B5E6A" w14:paraId="6B75B160" w14:textId="77777777" w:rsidTr="00BC68A0">
        <w:trPr>
          <w:trHeight w:val="555"/>
        </w:trPr>
        <w:tc>
          <w:tcPr>
            <w:tcW w:w="93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0CA729" w14:textId="77777777" w:rsidR="00380C20" w:rsidRPr="006B5E6A" w:rsidRDefault="00380C20" w:rsidP="007E0A2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6B5E6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TABELA PODSUMOWUJĄCA WYNIKI OCENY SYTUACJI EKONOMICZNO-FINANSOWEJ</w:t>
            </w:r>
          </w:p>
        </w:tc>
      </w:tr>
      <w:tr w:rsidR="00380C20" w:rsidRPr="006B5E6A" w14:paraId="3476D082" w14:textId="77777777" w:rsidTr="00BC68A0">
        <w:trPr>
          <w:trHeight w:val="540"/>
        </w:trPr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95C8" w14:textId="77777777" w:rsidR="00380C20" w:rsidRPr="006B5E6A" w:rsidRDefault="00380C20" w:rsidP="007E0A2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6B5E6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Grupa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8CE54" w14:textId="77777777" w:rsidR="00380C20" w:rsidRPr="006B5E6A" w:rsidRDefault="00380C20" w:rsidP="007E0A2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6B5E6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Wskaźniki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60F4" w14:textId="77777777" w:rsidR="00380C20" w:rsidRPr="006B5E6A" w:rsidRDefault="00380C20" w:rsidP="007E0A2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6B5E6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Wartość wskaźnika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454D3" w14:textId="77777777" w:rsidR="00380C20" w:rsidRPr="006B5E6A" w:rsidRDefault="00380C20" w:rsidP="007E0A2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6B5E6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Ocena</w:t>
            </w:r>
          </w:p>
        </w:tc>
      </w:tr>
      <w:tr w:rsidR="00380C20" w:rsidRPr="006B5E6A" w14:paraId="6A18D392" w14:textId="77777777" w:rsidTr="00BC68A0">
        <w:trPr>
          <w:trHeight w:val="255"/>
        </w:trPr>
        <w:tc>
          <w:tcPr>
            <w:tcW w:w="19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9EB5C" w14:textId="77777777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6B5E6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1. Wskaźniki zyskowności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703FC" w14:textId="77777777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B5E6A">
              <w:rPr>
                <w:rFonts w:ascii="Arial" w:eastAsia="Times New Roman" w:hAnsi="Arial" w:cs="Arial"/>
                <w:sz w:val="20"/>
                <w:lang w:eastAsia="pl-PL"/>
              </w:rPr>
              <w:t>1) wskaźnik zyskowności netto (%)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B30A" w14:textId="306CB775" w:rsidR="00380C20" w:rsidRPr="006B5E6A" w:rsidRDefault="00601B55" w:rsidP="007E0A25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14DF7" w14:textId="61FD4158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B5E6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601B55">
              <w:rPr>
                <w:rFonts w:ascii="Arial" w:eastAsia="Times New Roman" w:hAnsi="Arial" w:cs="Arial"/>
                <w:sz w:val="20"/>
                <w:lang w:eastAsia="pl-PL"/>
              </w:rPr>
              <w:t>4</w:t>
            </w:r>
          </w:p>
        </w:tc>
      </w:tr>
      <w:tr w:rsidR="00380C20" w:rsidRPr="006B5E6A" w14:paraId="6D2F5DFC" w14:textId="77777777" w:rsidTr="00BC68A0">
        <w:trPr>
          <w:trHeight w:val="255"/>
        </w:trPr>
        <w:tc>
          <w:tcPr>
            <w:tcW w:w="1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7975E2" w14:textId="77777777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C43E2" w14:textId="77777777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B5E6A">
              <w:rPr>
                <w:rFonts w:ascii="Arial" w:eastAsia="Times New Roman" w:hAnsi="Arial" w:cs="Arial"/>
                <w:sz w:val="20"/>
                <w:lang w:eastAsia="pl-PL"/>
              </w:rPr>
              <w:t>2) wskaźnik zyskowności działalności operacyjnej (%)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F456" w14:textId="7BD45EA7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B5E6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601B55">
              <w:rPr>
                <w:rFonts w:ascii="Arial" w:eastAsia="Times New Roman" w:hAnsi="Arial" w:cs="Arial"/>
                <w:sz w:val="20"/>
                <w:lang w:eastAsia="pl-PL"/>
              </w:rPr>
              <w:t>3,</w:t>
            </w:r>
            <w:r w:rsidR="00450480">
              <w:rPr>
                <w:rFonts w:ascii="Arial" w:eastAsia="Times New Roman" w:hAnsi="Arial" w:cs="Arial"/>
                <w:sz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E9321" w14:textId="54386513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B5E6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DD70DA">
              <w:rPr>
                <w:rFonts w:ascii="Arial" w:eastAsia="Times New Roman" w:hAnsi="Arial" w:cs="Arial"/>
                <w:sz w:val="20"/>
                <w:lang w:eastAsia="pl-PL"/>
              </w:rPr>
              <w:t>4</w:t>
            </w:r>
          </w:p>
        </w:tc>
      </w:tr>
      <w:tr w:rsidR="00380C20" w:rsidRPr="006B5E6A" w14:paraId="6B7D64F3" w14:textId="77777777" w:rsidTr="00BC68A0">
        <w:trPr>
          <w:trHeight w:val="270"/>
        </w:trPr>
        <w:tc>
          <w:tcPr>
            <w:tcW w:w="1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357645" w14:textId="77777777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71A4C" w14:textId="77777777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B5E6A">
              <w:rPr>
                <w:rFonts w:ascii="Arial" w:eastAsia="Times New Roman" w:hAnsi="Arial" w:cs="Arial"/>
                <w:sz w:val="20"/>
                <w:lang w:eastAsia="pl-PL"/>
              </w:rPr>
              <w:t>3) wskaźnik zyskowności aktywów (%)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984D" w14:textId="2CF022AA" w:rsidR="00450480" w:rsidRPr="006B5E6A" w:rsidRDefault="00601B55" w:rsidP="007E0A25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9,9</w:t>
            </w:r>
            <w:r w:rsidR="00450480">
              <w:rPr>
                <w:rFonts w:ascii="Arial" w:eastAsia="Times New Roman" w:hAnsi="Arial" w:cs="Arial"/>
                <w:sz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76869" w14:textId="646BA750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B5E6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DD70DA">
              <w:rPr>
                <w:rFonts w:ascii="Arial" w:eastAsia="Times New Roman" w:hAnsi="Arial" w:cs="Arial"/>
                <w:sz w:val="20"/>
                <w:lang w:eastAsia="pl-PL"/>
              </w:rPr>
              <w:t>5</w:t>
            </w:r>
          </w:p>
        </w:tc>
      </w:tr>
      <w:tr w:rsidR="00380C20" w:rsidRPr="006B5E6A" w14:paraId="1F2BA5CE" w14:textId="77777777" w:rsidTr="00BC68A0">
        <w:trPr>
          <w:trHeight w:val="27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6B231" w14:textId="77777777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EDBA3" w14:textId="77777777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F440" w14:textId="77777777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6B5E6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1. Razem: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314A5" w14:textId="3A4D538B" w:rsidR="00380C20" w:rsidRPr="006B5E6A" w:rsidRDefault="00DD70DA" w:rsidP="007E0A25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1</w:t>
            </w:r>
            <w:r w:rsidR="00601B55">
              <w:rPr>
                <w:rFonts w:ascii="Arial" w:eastAsia="Times New Roman" w:hAnsi="Arial" w:cs="Arial"/>
                <w:sz w:val="20"/>
                <w:lang w:eastAsia="pl-PL"/>
              </w:rPr>
              <w:t>3</w:t>
            </w:r>
          </w:p>
        </w:tc>
      </w:tr>
      <w:tr w:rsidR="00380C20" w:rsidRPr="006B5E6A" w14:paraId="3AE94691" w14:textId="77777777" w:rsidTr="00BC68A0">
        <w:trPr>
          <w:trHeight w:val="27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49B96" w14:textId="77777777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1BBD5" w14:textId="77777777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FBB43" w14:textId="77777777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FCDDD" w14:textId="77777777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380C20" w:rsidRPr="006B5E6A" w14:paraId="3768BCC6" w14:textId="77777777" w:rsidTr="00BC68A0">
        <w:trPr>
          <w:trHeight w:val="255"/>
        </w:trPr>
        <w:tc>
          <w:tcPr>
            <w:tcW w:w="1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4F3C2" w14:textId="77777777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6B5E6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2. Wskaźniki płynności</w:t>
            </w:r>
          </w:p>
        </w:tc>
        <w:tc>
          <w:tcPr>
            <w:tcW w:w="490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80D1A" w14:textId="77777777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B5E6A">
              <w:rPr>
                <w:rFonts w:ascii="Arial" w:eastAsia="Times New Roman" w:hAnsi="Arial" w:cs="Arial"/>
                <w:sz w:val="20"/>
                <w:lang w:eastAsia="pl-PL"/>
              </w:rPr>
              <w:t>1) wskaźnik bieżącej płynności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7E0E" w14:textId="44EDC893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B5E6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601B55">
              <w:rPr>
                <w:rFonts w:ascii="Arial" w:eastAsia="Times New Roman" w:hAnsi="Arial" w:cs="Arial"/>
                <w:sz w:val="20"/>
                <w:lang w:eastAsia="pl-PL"/>
              </w:rPr>
              <w:t>1,14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FB03C" w14:textId="2D9B570C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B5E6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601B55">
              <w:rPr>
                <w:rFonts w:ascii="Arial" w:eastAsia="Times New Roman" w:hAnsi="Arial" w:cs="Arial"/>
                <w:sz w:val="20"/>
                <w:lang w:eastAsia="pl-PL"/>
              </w:rPr>
              <w:t>8</w:t>
            </w:r>
          </w:p>
        </w:tc>
      </w:tr>
      <w:tr w:rsidR="00380C20" w:rsidRPr="006B5E6A" w14:paraId="2DD69579" w14:textId="77777777" w:rsidTr="00BC68A0">
        <w:trPr>
          <w:trHeight w:val="270"/>
        </w:trPr>
        <w:tc>
          <w:tcPr>
            <w:tcW w:w="19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1EBCA4" w14:textId="77777777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7A8B5" w14:textId="77777777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B5E6A">
              <w:rPr>
                <w:rFonts w:ascii="Arial" w:eastAsia="Times New Roman" w:hAnsi="Arial" w:cs="Arial"/>
                <w:sz w:val="20"/>
                <w:lang w:eastAsia="pl-PL"/>
              </w:rPr>
              <w:t>2) wskaźnik szybkiej płynności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0C63" w14:textId="1307715E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B5E6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601B55">
              <w:rPr>
                <w:rFonts w:ascii="Arial" w:eastAsia="Times New Roman" w:hAnsi="Arial" w:cs="Arial"/>
                <w:sz w:val="20"/>
                <w:lang w:eastAsia="pl-PL"/>
              </w:rPr>
              <w:t>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7E344" w14:textId="304BE3D4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B5E6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601B55">
              <w:rPr>
                <w:rFonts w:ascii="Arial" w:eastAsia="Times New Roman" w:hAnsi="Arial" w:cs="Arial"/>
                <w:sz w:val="20"/>
                <w:lang w:eastAsia="pl-PL"/>
              </w:rPr>
              <w:t>13</w:t>
            </w:r>
          </w:p>
        </w:tc>
      </w:tr>
      <w:tr w:rsidR="00380C20" w:rsidRPr="006B5E6A" w14:paraId="65CF7BCD" w14:textId="77777777" w:rsidTr="00BC68A0">
        <w:trPr>
          <w:trHeight w:val="27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120C5" w14:textId="77777777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2E8EE" w14:textId="77777777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B141" w14:textId="77777777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6B5E6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2. Razem: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2C655" w14:textId="29FAE7BC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B5E6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601B55">
              <w:rPr>
                <w:rFonts w:ascii="Arial" w:eastAsia="Times New Roman" w:hAnsi="Arial" w:cs="Arial"/>
                <w:sz w:val="20"/>
                <w:lang w:eastAsia="pl-PL"/>
              </w:rPr>
              <w:t>21</w:t>
            </w:r>
          </w:p>
        </w:tc>
      </w:tr>
      <w:tr w:rsidR="00380C20" w:rsidRPr="006B5E6A" w14:paraId="4977D97B" w14:textId="77777777" w:rsidTr="00BC68A0">
        <w:trPr>
          <w:trHeight w:val="27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D47E7" w14:textId="77777777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605A" w14:textId="77777777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94B10" w14:textId="77777777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19401" w14:textId="77777777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380C20" w:rsidRPr="006B5E6A" w14:paraId="361D0293" w14:textId="77777777" w:rsidTr="00BC68A0">
        <w:trPr>
          <w:trHeight w:val="255"/>
        </w:trPr>
        <w:tc>
          <w:tcPr>
            <w:tcW w:w="1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F2BD6" w14:textId="77777777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6B5E6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3. Wskaźniki efektywności</w:t>
            </w:r>
          </w:p>
        </w:tc>
        <w:tc>
          <w:tcPr>
            <w:tcW w:w="490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176A7" w14:textId="77777777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B5E6A">
              <w:rPr>
                <w:rFonts w:ascii="Arial" w:eastAsia="Times New Roman" w:hAnsi="Arial" w:cs="Arial"/>
                <w:sz w:val="20"/>
                <w:lang w:eastAsia="pl-PL"/>
              </w:rPr>
              <w:t>1) wskaźnik rotacji należności (w dniach)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AA34" w14:textId="2AE329BD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B5E6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EA7E97">
              <w:rPr>
                <w:rFonts w:ascii="Arial" w:eastAsia="Times New Roman" w:hAnsi="Arial" w:cs="Arial"/>
                <w:sz w:val="20"/>
                <w:lang w:eastAsia="pl-PL"/>
              </w:rPr>
              <w:t>3</w:t>
            </w:r>
            <w:r w:rsidR="00601B55">
              <w:rPr>
                <w:rFonts w:ascii="Arial" w:eastAsia="Times New Roman" w:hAnsi="Arial" w:cs="Arial"/>
                <w:sz w:val="20"/>
                <w:lang w:eastAsia="pl-PL"/>
              </w:rPr>
              <w:t>2,61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B55F3" w14:textId="77777777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B5E6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7F2A92">
              <w:rPr>
                <w:rFonts w:ascii="Arial" w:eastAsia="Times New Roman" w:hAnsi="Arial" w:cs="Arial"/>
                <w:sz w:val="20"/>
                <w:lang w:eastAsia="pl-PL"/>
              </w:rPr>
              <w:t>3</w:t>
            </w:r>
          </w:p>
        </w:tc>
      </w:tr>
      <w:tr w:rsidR="00380C20" w:rsidRPr="006B5E6A" w14:paraId="55D6DDE8" w14:textId="77777777" w:rsidTr="00BC68A0">
        <w:trPr>
          <w:trHeight w:val="270"/>
        </w:trPr>
        <w:tc>
          <w:tcPr>
            <w:tcW w:w="19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F89D31" w14:textId="77777777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327D6" w14:textId="77777777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B5E6A">
              <w:rPr>
                <w:rFonts w:ascii="Arial" w:eastAsia="Times New Roman" w:hAnsi="Arial" w:cs="Arial"/>
                <w:sz w:val="20"/>
                <w:lang w:eastAsia="pl-PL"/>
              </w:rPr>
              <w:t>2) wskaźnik rotacji zobowiązań (w dniach)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F7B6" w14:textId="5AA5430E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B5E6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C22627">
              <w:rPr>
                <w:rFonts w:ascii="Arial" w:eastAsia="Times New Roman" w:hAnsi="Arial" w:cs="Arial"/>
                <w:sz w:val="20"/>
                <w:lang w:eastAsia="pl-PL"/>
              </w:rPr>
              <w:t>1</w:t>
            </w:r>
            <w:r w:rsidR="00601B55">
              <w:rPr>
                <w:rFonts w:ascii="Arial" w:eastAsia="Times New Roman" w:hAnsi="Arial" w:cs="Arial"/>
                <w:sz w:val="20"/>
                <w:lang w:eastAsia="pl-PL"/>
              </w:rPr>
              <w:t>5,98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AD916" w14:textId="77777777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B5E6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0"/>
                <w:lang w:eastAsia="pl-PL"/>
              </w:rPr>
              <w:t>7</w:t>
            </w:r>
          </w:p>
        </w:tc>
      </w:tr>
      <w:tr w:rsidR="00380C20" w:rsidRPr="006B5E6A" w14:paraId="1D31760E" w14:textId="77777777" w:rsidTr="00BC68A0">
        <w:trPr>
          <w:trHeight w:val="27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C00F9" w14:textId="77777777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E1550" w14:textId="77777777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9B7E" w14:textId="77777777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6B5E6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3. Razem: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E0D4F" w14:textId="77777777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B5E6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0"/>
                <w:lang w:eastAsia="pl-PL"/>
              </w:rPr>
              <w:t>10</w:t>
            </w:r>
          </w:p>
        </w:tc>
      </w:tr>
      <w:tr w:rsidR="00380C20" w:rsidRPr="006B5E6A" w14:paraId="3B5F55E0" w14:textId="77777777" w:rsidTr="00BC68A0">
        <w:trPr>
          <w:trHeight w:val="27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AAF5C" w14:textId="77777777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61FB6" w14:textId="77777777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B40EF" w14:textId="77777777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71D64" w14:textId="77777777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380C20" w:rsidRPr="006B5E6A" w14:paraId="673C3B6A" w14:textId="77777777" w:rsidTr="00BC68A0">
        <w:trPr>
          <w:trHeight w:val="255"/>
        </w:trPr>
        <w:tc>
          <w:tcPr>
            <w:tcW w:w="1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E5654" w14:textId="77777777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6B5E6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4. Wskaźniki zadłużenia</w:t>
            </w:r>
          </w:p>
        </w:tc>
        <w:tc>
          <w:tcPr>
            <w:tcW w:w="490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2BA31" w14:textId="77777777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B5E6A">
              <w:rPr>
                <w:rFonts w:ascii="Arial" w:eastAsia="Times New Roman" w:hAnsi="Arial" w:cs="Arial"/>
                <w:sz w:val="20"/>
                <w:lang w:eastAsia="pl-PL"/>
              </w:rPr>
              <w:t>1) wskaźnik zadłużenia aktywów (%)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D64C" w14:textId="2590648A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B5E6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C22627">
              <w:rPr>
                <w:rFonts w:ascii="Arial" w:eastAsia="Times New Roman" w:hAnsi="Arial" w:cs="Arial"/>
                <w:sz w:val="20"/>
                <w:lang w:eastAsia="pl-PL"/>
              </w:rPr>
              <w:t>4</w:t>
            </w:r>
            <w:r w:rsidR="00601B55">
              <w:rPr>
                <w:rFonts w:ascii="Arial" w:eastAsia="Times New Roman" w:hAnsi="Arial" w:cs="Arial"/>
                <w:sz w:val="20"/>
                <w:lang w:eastAsia="pl-PL"/>
              </w:rPr>
              <w:t>1,99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2FC0C" w14:textId="77777777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B5E6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C22627">
              <w:rPr>
                <w:rFonts w:ascii="Arial" w:eastAsia="Times New Roman" w:hAnsi="Arial" w:cs="Arial"/>
                <w:sz w:val="20"/>
                <w:lang w:eastAsia="pl-PL"/>
              </w:rPr>
              <w:t>8</w:t>
            </w:r>
          </w:p>
        </w:tc>
      </w:tr>
      <w:tr w:rsidR="00380C20" w:rsidRPr="006B5E6A" w14:paraId="7FC007B5" w14:textId="77777777" w:rsidTr="00BC68A0">
        <w:trPr>
          <w:trHeight w:val="270"/>
        </w:trPr>
        <w:tc>
          <w:tcPr>
            <w:tcW w:w="19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0304C" w14:textId="77777777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97E78" w14:textId="77777777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B5E6A">
              <w:rPr>
                <w:rFonts w:ascii="Arial" w:eastAsia="Times New Roman" w:hAnsi="Arial" w:cs="Arial"/>
                <w:sz w:val="20"/>
                <w:lang w:eastAsia="pl-PL"/>
              </w:rPr>
              <w:t>2) wskaźnik wypłacalności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978A" w14:textId="11934821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B5E6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984C3A">
              <w:rPr>
                <w:rFonts w:ascii="Arial" w:eastAsia="Times New Roman" w:hAnsi="Arial" w:cs="Arial"/>
                <w:sz w:val="20"/>
                <w:lang w:eastAsia="pl-PL"/>
              </w:rPr>
              <w:t>1,</w:t>
            </w:r>
            <w:r w:rsidR="00601B55">
              <w:rPr>
                <w:rFonts w:ascii="Arial" w:eastAsia="Times New Roman" w:hAnsi="Arial" w:cs="Arial"/>
                <w:sz w:val="20"/>
                <w:lang w:eastAsia="pl-PL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349B8" w14:textId="491F7838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B5E6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984C3A">
              <w:rPr>
                <w:rFonts w:ascii="Arial" w:eastAsia="Times New Roman" w:hAnsi="Arial" w:cs="Arial"/>
                <w:sz w:val="20"/>
                <w:lang w:eastAsia="pl-PL"/>
              </w:rPr>
              <w:t>6</w:t>
            </w:r>
          </w:p>
        </w:tc>
      </w:tr>
      <w:tr w:rsidR="00380C20" w:rsidRPr="006B5E6A" w14:paraId="7ADB3614" w14:textId="77777777" w:rsidTr="00BC68A0">
        <w:trPr>
          <w:trHeight w:val="27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B24E" w14:textId="77777777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FE14" w14:textId="77777777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1164" w14:textId="77777777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6B5E6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4. Razem: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01826" w14:textId="43EE1609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B5E6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77243E">
              <w:rPr>
                <w:rFonts w:ascii="Arial" w:eastAsia="Times New Roman" w:hAnsi="Arial" w:cs="Arial"/>
                <w:sz w:val="20"/>
                <w:lang w:eastAsia="pl-PL"/>
              </w:rPr>
              <w:t>1</w:t>
            </w:r>
            <w:r w:rsidR="00984C3A">
              <w:rPr>
                <w:rFonts w:ascii="Arial" w:eastAsia="Times New Roman" w:hAnsi="Arial" w:cs="Arial"/>
                <w:sz w:val="20"/>
                <w:lang w:eastAsia="pl-PL"/>
              </w:rPr>
              <w:t>4</w:t>
            </w:r>
          </w:p>
        </w:tc>
      </w:tr>
      <w:tr w:rsidR="00380C20" w:rsidRPr="006B5E6A" w14:paraId="522BC2E5" w14:textId="77777777" w:rsidTr="00BC68A0">
        <w:trPr>
          <w:trHeight w:val="27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9A05" w14:textId="77777777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9C4A" w14:textId="77777777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A0FE" w14:textId="77777777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0F82" w14:textId="77777777" w:rsidR="00380C20" w:rsidRPr="006B5E6A" w:rsidRDefault="00380C20" w:rsidP="007E0A25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380C20" w:rsidRPr="006B5E6A" w14:paraId="73C6CDF0" w14:textId="77777777" w:rsidTr="00BC68A0">
        <w:trPr>
          <w:trHeight w:val="270"/>
        </w:trPr>
        <w:tc>
          <w:tcPr>
            <w:tcW w:w="83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0AEC5" w14:textId="77777777" w:rsidR="00380C20" w:rsidRPr="006B5E6A" w:rsidRDefault="00380C20" w:rsidP="007E0A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6B5E6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Łączna wartość punktów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DA4C5" w14:textId="525AC2AD" w:rsidR="00380C20" w:rsidRPr="006B5E6A" w:rsidRDefault="00B7748A" w:rsidP="007E0A25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5</w:t>
            </w:r>
            <w:r w:rsidR="00601B55">
              <w:rPr>
                <w:rFonts w:ascii="Arial" w:eastAsia="Times New Roman" w:hAnsi="Arial" w:cs="Arial"/>
                <w:sz w:val="20"/>
                <w:lang w:eastAsia="pl-PL"/>
              </w:rPr>
              <w:t>8</w:t>
            </w:r>
          </w:p>
        </w:tc>
      </w:tr>
    </w:tbl>
    <w:p w14:paraId="2CD76F1E" w14:textId="77777777" w:rsidR="00F766E1" w:rsidRDefault="00F766E1" w:rsidP="001E3452">
      <w:pPr>
        <w:jc w:val="both"/>
        <w:rPr>
          <w:rFonts w:cs="Arial"/>
          <w:bCs/>
          <w:szCs w:val="24"/>
        </w:rPr>
      </w:pPr>
    </w:p>
    <w:p w14:paraId="5FCEA059" w14:textId="6294BFCC" w:rsidR="00FE1A65" w:rsidRPr="00BC68A0" w:rsidRDefault="00F05900" w:rsidP="00F05900">
      <w:pPr>
        <w:widowControl/>
        <w:suppressAutoHyphens w:val="0"/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Łączna wartość punktacji jest </w:t>
      </w:r>
      <w:r w:rsidR="00B7748A">
        <w:rPr>
          <w:rFonts w:cs="Arial"/>
          <w:bCs/>
          <w:szCs w:val="24"/>
        </w:rPr>
        <w:t>wy</w:t>
      </w:r>
      <w:r>
        <w:rPr>
          <w:rFonts w:cs="Arial"/>
          <w:bCs/>
          <w:szCs w:val="24"/>
        </w:rPr>
        <w:t xml:space="preserve">ższa o </w:t>
      </w:r>
      <w:r w:rsidR="00601B55">
        <w:rPr>
          <w:rFonts w:cs="Arial"/>
          <w:bCs/>
          <w:szCs w:val="24"/>
        </w:rPr>
        <w:t>8</w:t>
      </w:r>
      <w:r>
        <w:rPr>
          <w:rFonts w:cs="Arial"/>
          <w:bCs/>
          <w:szCs w:val="24"/>
        </w:rPr>
        <w:t xml:space="preserve"> punkt</w:t>
      </w:r>
      <w:r w:rsidR="00B7748A">
        <w:rPr>
          <w:rFonts w:cs="Arial"/>
          <w:bCs/>
          <w:szCs w:val="24"/>
        </w:rPr>
        <w:t>ów</w:t>
      </w:r>
      <w:r>
        <w:rPr>
          <w:rFonts w:cs="Arial"/>
          <w:bCs/>
          <w:szCs w:val="24"/>
        </w:rPr>
        <w:t xml:space="preserve"> w porównaniu z rokiem 202</w:t>
      </w:r>
      <w:r w:rsidR="00601B55">
        <w:rPr>
          <w:rFonts w:cs="Arial"/>
          <w:bCs/>
          <w:szCs w:val="24"/>
        </w:rPr>
        <w:t>2</w:t>
      </w:r>
      <w:r>
        <w:rPr>
          <w:rFonts w:cs="Arial"/>
          <w:bCs/>
          <w:szCs w:val="24"/>
        </w:rPr>
        <w:t xml:space="preserve"> i jest skutkiem </w:t>
      </w:r>
      <w:r w:rsidR="00B7748A">
        <w:rPr>
          <w:rFonts w:cs="Arial"/>
          <w:bCs/>
          <w:szCs w:val="24"/>
        </w:rPr>
        <w:t>osiągnięcia dodatniego</w:t>
      </w:r>
      <w:r w:rsidR="00BF7682">
        <w:rPr>
          <w:rFonts w:cs="Arial"/>
          <w:bCs/>
          <w:szCs w:val="24"/>
        </w:rPr>
        <w:t xml:space="preserve"> wyniku finansowego</w:t>
      </w:r>
      <w:r w:rsidR="00B7748A">
        <w:rPr>
          <w:rFonts w:cs="Arial"/>
          <w:bCs/>
          <w:szCs w:val="24"/>
        </w:rPr>
        <w:t xml:space="preserve"> na poziomie 5</w:t>
      </w:r>
      <w:r w:rsidR="00601B55">
        <w:rPr>
          <w:rFonts w:cs="Arial"/>
          <w:bCs/>
          <w:szCs w:val="24"/>
        </w:rPr>
        <w:t xml:space="preserve">23 805,10 </w:t>
      </w:r>
      <w:r w:rsidR="00B7748A">
        <w:rPr>
          <w:rFonts w:cs="Arial"/>
          <w:bCs/>
          <w:szCs w:val="24"/>
        </w:rPr>
        <w:t>zł</w:t>
      </w:r>
      <w:r w:rsidR="00BF7682">
        <w:rPr>
          <w:rFonts w:cs="Arial"/>
          <w:bCs/>
          <w:szCs w:val="24"/>
        </w:rPr>
        <w:t>. S</w:t>
      </w:r>
      <w:r w:rsidR="00B7748A">
        <w:rPr>
          <w:rFonts w:cs="Arial"/>
          <w:bCs/>
          <w:szCs w:val="24"/>
        </w:rPr>
        <w:t>powodowało</w:t>
      </w:r>
      <w:r w:rsidR="00BF7682">
        <w:rPr>
          <w:rFonts w:cs="Arial"/>
          <w:bCs/>
          <w:szCs w:val="24"/>
        </w:rPr>
        <w:t xml:space="preserve"> to</w:t>
      </w:r>
      <w:r w:rsidR="00B7748A">
        <w:rPr>
          <w:rFonts w:cs="Arial"/>
          <w:bCs/>
          <w:szCs w:val="24"/>
        </w:rPr>
        <w:t xml:space="preserve"> </w:t>
      </w:r>
      <w:r w:rsidR="00A957AB">
        <w:rPr>
          <w:rFonts w:cs="Arial"/>
          <w:bCs/>
          <w:szCs w:val="24"/>
        </w:rPr>
        <w:t>wzrost</w:t>
      </w:r>
      <w:r w:rsidR="00B7748A">
        <w:rPr>
          <w:rFonts w:cs="Arial"/>
          <w:bCs/>
          <w:szCs w:val="24"/>
        </w:rPr>
        <w:t xml:space="preserve">  wskaźników płynności</w:t>
      </w:r>
      <w:r w:rsidR="006D5CEB">
        <w:rPr>
          <w:rFonts w:cs="Arial"/>
          <w:bCs/>
          <w:szCs w:val="24"/>
        </w:rPr>
        <w:t xml:space="preserve"> finansowej.</w:t>
      </w:r>
      <w:r w:rsidR="00F766E1">
        <w:rPr>
          <w:rFonts w:cs="Arial"/>
          <w:bCs/>
          <w:szCs w:val="24"/>
        </w:rPr>
        <w:br w:type="page"/>
      </w:r>
    </w:p>
    <w:p w14:paraId="14EA56FE" w14:textId="4A5AC643" w:rsidR="00FE1A65" w:rsidRPr="000D15F6" w:rsidRDefault="00D00E94" w:rsidP="00380C20">
      <w:pPr>
        <w:pStyle w:val="Nagwek2"/>
        <w:numPr>
          <w:ilvl w:val="1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lastRenderedPageBreak/>
        <w:t xml:space="preserve"> </w:t>
      </w:r>
      <w:bookmarkStart w:id="10" w:name="_Toc104448289"/>
      <w:r w:rsidR="00FE1A65" w:rsidRPr="000D15F6">
        <w:rPr>
          <w:rFonts w:ascii="Times New Roman" w:hAnsi="Times New Roman" w:cs="Times New Roman"/>
          <w:color w:val="auto"/>
          <w:sz w:val="24"/>
          <w:szCs w:val="24"/>
        </w:rPr>
        <w:t xml:space="preserve">Podsumowanie analizy sytuacji </w:t>
      </w:r>
      <w:proofErr w:type="spellStart"/>
      <w:r w:rsidR="00FE1A65" w:rsidRPr="000D15F6">
        <w:rPr>
          <w:rFonts w:ascii="Times New Roman" w:hAnsi="Times New Roman" w:cs="Times New Roman"/>
          <w:color w:val="auto"/>
          <w:sz w:val="24"/>
          <w:szCs w:val="24"/>
        </w:rPr>
        <w:t>ekonomiczno</w:t>
      </w:r>
      <w:proofErr w:type="spellEnd"/>
      <w:r w:rsidR="00FE1A65" w:rsidRPr="000D15F6">
        <w:rPr>
          <w:rFonts w:ascii="Times New Roman" w:hAnsi="Times New Roman" w:cs="Times New Roman"/>
          <w:color w:val="auto"/>
          <w:sz w:val="24"/>
          <w:szCs w:val="24"/>
        </w:rPr>
        <w:t xml:space="preserve"> – finanso</w:t>
      </w:r>
      <w:r w:rsidR="003C43AE">
        <w:rPr>
          <w:rFonts w:ascii="Times New Roman" w:hAnsi="Times New Roman" w:cs="Times New Roman"/>
          <w:color w:val="auto"/>
          <w:sz w:val="24"/>
          <w:szCs w:val="24"/>
        </w:rPr>
        <w:t>wej podmiotu leczniczego za 20</w:t>
      </w:r>
      <w:r w:rsidR="001345B2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601B55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865D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E1A65" w:rsidRPr="000D15F6">
        <w:rPr>
          <w:rFonts w:ascii="Times New Roman" w:hAnsi="Times New Roman" w:cs="Times New Roman"/>
          <w:color w:val="auto"/>
          <w:sz w:val="24"/>
          <w:szCs w:val="24"/>
        </w:rPr>
        <w:t>rok</w:t>
      </w:r>
      <w:r w:rsidR="002435D6" w:rsidRPr="000D15F6">
        <w:rPr>
          <w:rFonts w:ascii="Times New Roman" w:hAnsi="Times New Roman" w:cs="Times New Roman"/>
          <w:color w:val="auto"/>
          <w:sz w:val="24"/>
          <w:szCs w:val="24"/>
        </w:rPr>
        <w:t xml:space="preserve"> - wnioski</w:t>
      </w:r>
      <w:bookmarkEnd w:id="10"/>
    </w:p>
    <w:p w14:paraId="7D180DE2" w14:textId="77777777" w:rsidR="001E3452" w:rsidRDefault="001E3452" w:rsidP="001E3452">
      <w:pPr>
        <w:jc w:val="both"/>
        <w:rPr>
          <w:rFonts w:cs="Arial"/>
          <w:b/>
          <w:bCs/>
          <w:szCs w:val="24"/>
        </w:rPr>
      </w:pPr>
    </w:p>
    <w:p w14:paraId="1ED99F79" w14:textId="77777777" w:rsidR="001E3452" w:rsidRDefault="001E3452" w:rsidP="001E3452">
      <w:pPr>
        <w:jc w:val="both"/>
        <w:rPr>
          <w:rFonts w:cs="Arial"/>
          <w:b/>
          <w:bCs/>
          <w:szCs w:val="24"/>
        </w:rPr>
      </w:pPr>
    </w:p>
    <w:p w14:paraId="1DC7AEEA" w14:textId="30890544" w:rsidR="00812D94" w:rsidRPr="00A15D79" w:rsidRDefault="00CE4F8E" w:rsidP="00A15D79">
      <w:pPr>
        <w:spacing w:line="360" w:lineRule="auto"/>
        <w:ind w:firstLine="706"/>
        <w:jc w:val="both"/>
        <w:rPr>
          <w:b/>
          <w:bCs/>
        </w:rPr>
      </w:pPr>
      <w:r w:rsidRPr="00680AD1">
        <w:rPr>
          <w:rFonts w:cs="Arial"/>
          <w:bCs/>
          <w:szCs w:val="24"/>
        </w:rPr>
        <w:t xml:space="preserve">Sytuacja ekonomiczno-finansowa Wojewódzkiego Zakładu Opieki Zdrowotnej nad Matką, Dzieckiem i Młodzieżą w Częstochowie </w:t>
      </w:r>
      <w:r w:rsidR="00C37897" w:rsidRPr="00680AD1">
        <w:rPr>
          <w:rFonts w:cs="Arial"/>
          <w:bCs/>
          <w:szCs w:val="24"/>
        </w:rPr>
        <w:t>za rok 20</w:t>
      </w:r>
      <w:r w:rsidR="00812D94" w:rsidRPr="00680AD1">
        <w:rPr>
          <w:rFonts w:cs="Arial"/>
          <w:bCs/>
          <w:szCs w:val="24"/>
        </w:rPr>
        <w:t>2</w:t>
      </w:r>
      <w:r w:rsidR="00601B55">
        <w:rPr>
          <w:rFonts w:cs="Arial"/>
          <w:bCs/>
          <w:szCs w:val="24"/>
        </w:rPr>
        <w:t>3</w:t>
      </w:r>
      <w:r w:rsidR="00A957AB">
        <w:rPr>
          <w:rFonts w:cs="Arial"/>
          <w:bCs/>
          <w:szCs w:val="24"/>
        </w:rPr>
        <w:t xml:space="preserve"> uległa znacznej poprawie</w:t>
      </w:r>
      <w:r w:rsidR="00DB0910">
        <w:rPr>
          <w:rFonts w:cs="Arial"/>
          <w:bCs/>
          <w:szCs w:val="24"/>
        </w:rPr>
        <w:t xml:space="preserve">.                 </w:t>
      </w:r>
      <w:r w:rsidR="00265FB0" w:rsidRPr="00521684">
        <w:t xml:space="preserve">W wyniku realizacji zadań z programu naprawczego, podwyższenia ceny za punkt świadczeń zdrowotnych oraz otrzymywania regularnie środków za </w:t>
      </w:r>
      <w:proofErr w:type="spellStart"/>
      <w:r w:rsidR="00265FB0" w:rsidRPr="00521684">
        <w:t>nadwykonania</w:t>
      </w:r>
      <w:proofErr w:type="spellEnd"/>
      <w:r w:rsidR="00265FB0" w:rsidRPr="00521684">
        <w:t xml:space="preserve"> świadczeń zdrowotnych Zakład wypracował wynik finansowy dodatni w</w:t>
      </w:r>
      <w:r w:rsidR="005316DB">
        <w:t> </w:t>
      </w:r>
      <w:r w:rsidR="00265FB0" w:rsidRPr="00521684">
        <w:t>wysokości 5</w:t>
      </w:r>
      <w:r w:rsidR="00601B55">
        <w:t>23</w:t>
      </w:r>
      <w:r w:rsidR="00DB0910">
        <w:t xml:space="preserve"> </w:t>
      </w:r>
      <w:r w:rsidR="00601B55">
        <w:t>805,10</w:t>
      </w:r>
      <w:r w:rsidR="00265FB0" w:rsidRPr="00521684">
        <w:t xml:space="preserve"> zł</w:t>
      </w:r>
      <w:r w:rsidR="00601B55">
        <w:t xml:space="preserve">. </w:t>
      </w:r>
    </w:p>
    <w:p w14:paraId="108E0534" w14:textId="132A52F7" w:rsidR="00C810F0" w:rsidRPr="001345B2" w:rsidRDefault="00812D94" w:rsidP="00C810F0">
      <w:pPr>
        <w:spacing w:line="360" w:lineRule="auto"/>
        <w:jc w:val="both"/>
        <w:rPr>
          <w:rFonts w:cs="Arial"/>
          <w:bCs/>
          <w:i/>
          <w:color w:val="FF0000"/>
          <w:szCs w:val="24"/>
        </w:rPr>
      </w:pPr>
      <w:r w:rsidRPr="001345B2">
        <w:rPr>
          <w:rFonts w:cs="Arial"/>
          <w:bCs/>
          <w:color w:val="FF0000"/>
          <w:szCs w:val="24"/>
        </w:rPr>
        <w:t xml:space="preserve"> </w:t>
      </w:r>
      <w:r w:rsidR="00EA170F">
        <w:rPr>
          <w:rFonts w:cs="Arial"/>
          <w:bCs/>
          <w:szCs w:val="24"/>
        </w:rPr>
        <w:t>Wynik finansowy</w:t>
      </w:r>
      <w:r w:rsidRPr="00680AD1">
        <w:rPr>
          <w:rFonts w:cs="Arial"/>
          <w:bCs/>
          <w:szCs w:val="24"/>
        </w:rPr>
        <w:t xml:space="preserve"> w Wojewódzkim Zakładzie Opieki Zdrowotnej w</w:t>
      </w:r>
      <w:r w:rsidR="00C810F0" w:rsidRPr="00680AD1">
        <w:rPr>
          <w:rFonts w:cs="Arial"/>
          <w:bCs/>
          <w:szCs w:val="24"/>
        </w:rPr>
        <w:t xml:space="preserve"> </w:t>
      </w:r>
      <w:r w:rsidRPr="00680AD1">
        <w:rPr>
          <w:rFonts w:cs="Arial"/>
          <w:bCs/>
          <w:szCs w:val="24"/>
        </w:rPr>
        <w:t>roku 202</w:t>
      </w:r>
      <w:r w:rsidR="00DB0910">
        <w:rPr>
          <w:rFonts w:cs="Arial"/>
          <w:bCs/>
          <w:szCs w:val="24"/>
        </w:rPr>
        <w:t>3</w:t>
      </w:r>
      <w:r w:rsidRPr="00680AD1">
        <w:rPr>
          <w:rFonts w:cs="Arial"/>
          <w:bCs/>
          <w:szCs w:val="24"/>
        </w:rPr>
        <w:t xml:space="preserve"> spowodował</w:t>
      </w:r>
      <w:r w:rsidR="00265FB0">
        <w:rPr>
          <w:rFonts w:cs="Arial"/>
          <w:bCs/>
          <w:szCs w:val="24"/>
        </w:rPr>
        <w:t xml:space="preserve"> znaczne podwyższenie</w:t>
      </w:r>
      <w:r w:rsidRPr="00680AD1">
        <w:rPr>
          <w:rFonts w:cs="Arial"/>
          <w:bCs/>
          <w:szCs w:val="24"/>
        </w:rPr>
        <w:t xml:space="preserve"> wartości wskaźników </w:t>
      </w:r>
      <w:r w:rsidR="00182D24">
        <w:rPr>
          <w:rFonts w:cs="Arial"/>
          <w:bCs/>
          <w:szCs w:val="24"/>
        </w:rPr>
        <w:t>płynności finansowej</w:t>
      </w:r>
      <w:r w:rsidR="00EA170F">
        <w:rPr>
          <w:rFonts w:cs="Arial"/>
          <w:bCs/>
          <w:szCs w:val="24"/>
        </w:rPr>
        <w:t>,</w:t>
      </w:r>
      <w:r w:rsidR="00182D24">
        <w:rPr>
          <w:rFonts w:cs="Arial"/>
          <w:bCs/>
          <w:szCs w:val="24"/>
        </w:rPr>
        <w:t xml:space="preserve"> które</w:t>
      </w:r>
      <w:r w:rsidRPr="00680AD1">
        <w:rPr>
          <w:rFonts w:cs="Arial"/>
          <w:bCs/>
          <w:szCs w:val="24"/>
        </w:rPr>
        <w:t xml:space="preserve"> </w:t>
      </w:r>
      <w:r w:rsidR="00680AD1">
        <w:rPr>
          <w:rFonts w:cs="Arial"/>
          <w:bCs/>
          <w:szCs w:val="24"/>
        </w:rPr>
        <w:t xml:space="preserve">wykazały </w:t>
      </w:r>
      <w:r w:rsidR="00265FB0">
        <w:rPr>
          <w:rFonts w:cs="Arial"/>
          <w:bCs/>
          <w:szCs w:val="24"/>
        </w:rPr>
        <w:t>wzrost</w:t>
      </w:r>
      <w:r w:rsidR="00680AD1">
        <w:rPr>
          <w:rFonts w:cs="Arial"/>
          <w:bCs/>
          <w:szCs w:val="24"/>
        </w:rPr>
        <w:t xml:space="preserve"> o 0,</w:t>
      </w:r>
      <w:r w:rsidR="00DB0910">
        <w:rPr>
          <w:rFonts w:cs="Arial"/>
          <w:bCs/>
          <w:szCs w:val="24"/>
        </w:rPr>
        <w:t>43</w:t>
      </w:r>
      <w:r w:rsidR="00680AD1">
        <w:rPr>
          <w:rFonts w:cs="Arial"/>
          <w:bCs/>
          <w:szCs w:val="24"/>
        </w:rPr>
        <w:t xml:space="preserve"> punktu procentowego</w:t>
      </w:r>
      <w:r w:rsidR="00DB0910">
        <w:rPr>
          <w:rFonts w:cs="Arial"/>
          <w:bCs/>
          <w:szCs w:val="24"/>
        </w:rPr>
        <w:t xml:space="preserve"> i tym samym weszły do wyższego przedziału punktowego, podwyższając</w:t>
      </w:r>
      <w:r w:rsidR="00EA170F">
        <w:rPr>
          <w:rFonts w:cs="Arial"/>
          <w:bCs/>
          <w:szCs w:val="24"/>
        </w:rPr>
        <w:t xml:space="preserve"> ogólna punktację Zakładu. </w:t>
      </w:r>
      <w:r w:rsidRPr="00680AD1">
        <w:rPr>
          <w:rFonts w:cs="Arial"/>
          <w:bCs/>
          <w:szCs w:val="24"/>
        </w:rPr>
        <w:t>Wskaźniki  efektywności  utrzymały się na</w:t>
      </w:r>
      <w:r w:rsidRPr="001345B2">
        <w:rPr>
          <w:rFonts w:cs="Arial"/>
          <w:bCs/>
          <w:color w:val="FF0000"/>
          <w:szCs w:val="24"/>
        </w:rPr>
        <w:t xml:space="preserve"> </w:t>
      </w:r>
      <w:r w:rsidRPr="00680AD1">
        <w:rPr>
          <w:rFonts w:cs="Arial"/>
          <w:bCs/>
          <w:szCs w:val="24"/>
        </w:rPr>
        <w:t>dobrym poziomie</w:t>
      </w:r>
      <w:r w:rsidR="00680AD1">
        <w:rPr>
          <w:rFonts w:cs="Arial"/>
          <w:bCs/>
          <w:szCs w:val="24"/>
        </w:rPr>
        <w:t xml:space="preserve"> w najwyższym przedziale punktowym.</w:t>
      </w:r>
      <w:r w:rsidRPr="001345B2">
        <w:rPr>
          <w:rFonts w:cs="Arial"/>
          <w:bCs/>
          <w:color w:val="FF0000"/>
          <w:szCs w:val="24"/>
        </w:rPr>
        <w:t xml:space="preserve"> </w:t>
      </w:r>
      <w:r w:rsidR="00C810F0" w:rsidRPr="00F05900">
        <w:rPr>
          <w:rFonts w:cs="Arial"/>
          <w:bCs/>
          <w:szCs w:val="24"/>
        </w:rPr>
        <w:t>Łącznie ocena punktowa wskaźników za rok 202</w:t>
      </w:r>
      <w:r w:rsidR="00EA170F">
        <w:rPr>
          <w:rFonts w:cs="Arial"/>
          <w:bCs/>
          <w:szCs w:val="24"/>
        </w:rPr>
        <w:t>3</w:t>
      </w:r>
      <w:r w:rsidR="00C810F0" w:rsidRPr="00F05900">
        <w:rPr>
          <w:rFonts w:cs="Arial"/>
          <w:bCs/>
          <w:szCs w:val="24"/>
        </w:rPr>
        <w:t xml:space="preserve"> wyniosła </w:t>
      </w:r>
      <w:r w:rsidR="00265FB0">
        <w:rPr>
          <w:rFonts w:cs="Arial"/>
          <w:bCs/>
          <w:szCs w:val="24"/>
        </w:rPr>
        <w:t>5</w:t>
      </w:r>
      <w:r w:rsidR="00EA170F">
        <w:rPr>
          <w:rFonts w:cs="Arial"/>
          <w:bCs/>
          <w:szCs w:val="24"/>
        </w:rPr>
        <w:t>8</w:t>
      </w:r>
      <w:r w:rsidR="00C810F0" w:rsidRPr="00F05900">
        <w:rPr>
          <w:rFonts w:cs="Arial"/>
          <w:bCs/>
          <w:szCs w:val="24"/>
        </w:rPr>
        <w:t xml:space="preserve"> pkt, </w:t>
      </w:r>
      <w:r w:rsidR="00265FB0">
        <w:rPr>
          <w:rFonts w:cs="Arial"/>
          <w:bCs/>
          <w:szCs w:val="24"/>
        </w:rPr>
        <w:t>wy</w:t>
      </w:r>
      <w:r w:rsidR="00C810F0" w:rsidRPr="00F05900">
        <w:rPr>
          <w:rFonts w:cs="Arial"/>
          <w:bCs/>
          <w:szCs w:val="24"/>
        </w:rPr>
        <w:t xml:space="preserve">żej o </w:t>
      </w:r>
      <w:r w:rsidR="00EA170F">
        <w:rPr>
          <w:rFonts w:cs="Arial"/>
          <w:bCs/>
          <w:szCs w:val="24"/>
        </w:rPr>
        <w:t>8</w:t>
      </w:r>
      <w:r w:rsidR="00C810F0" w:rsidRPr="00F05900">
        <w:rPr>
          <w:rFonts w:cs="Arial"/>
          <w:bCs/>
          <w:szCs w:val="24"/>
        </w:rPr>
        <w:t xml:space="preserve"> punkt</w:t>
      </w:r>
      <w:r w:rsidR="00265FB0">
        <w:rPr>
          <w:rFonts w:cs="Arial"/>
          <w:bCs/>
          <w:szCs w:val="24"/>
        </w:rPr>
        <w:t>ów</w:t>
      </w:r>
      <w:r w:rsidR="00C810F0" w:rsidRPr="00F05900">
        <w:rPr>
          <w:rFonts w:cs="Arial"/>
          <w:bCs/>
          <w:szCs w:val="24"/>
        </w:rPr>
        <w:t xml:space="preserve"> niż w roku 20</w:t>
      </w:r>
      <w:r w:rsidR="00F05900">
        <w:rPr>
          <w:rFonts w:cs="Arial"/>
          <w:bCs/>
          <w:szCs w:val="24"/>
        </w:rPr>
        <w:t>2</w:t>
      </w:r>
      <w:r w:rsidR="00EA170F">
        <w:rPr>
          <w:rFonts w:cs="Arial"/>
          <w:bCs/>
          <w:szCs w:val="24"/>
        </w:rPr>
        <w:t>2</w:t>
      </w:r>
      <w:r w:rsidR="00C810F0" w:rsidRPr="00F05900">
        <w:rPr>
          <w:rFonts w:cs="Arial"/>
          <w:bCs/>
          <w:szCs w:val="24"/>
        </w:rPr>
        <w:t xml:space="preserve">. </w:t>
      </w:r>
    </w:p>
    <w:p w14:paraId="336A463A" w14:textId="3804D6F5" w:rsidR="00812D94" w:rsidRPr="00680AD1" w:rsidRDefault="00812D94" w:rsidP="00812D94">
      <w:pPr>
        <w:spacing w:line="360" w:lineRule="auto"/>
        <w:jc w:val="both"/>
        <w:rPr>
          <w:rFonts w:cs="Arial"/>
          <w:bCs/>
          <w:szCs w:val="24"/>
        </w:rPr>
      </w:pPr>
      <w:r w:rsidRPr="00680AD1">
        <w:rPr>
          <w:rFonts w:cs="Arial"/>
          <w:bCs/>
          <w:szCs w:val="24"/>
        </w:rPr>
        <w:t>Analiza wskaźnikowa pozwala wyciągnąć wniosek, że brak jest przesłanek do wystąpienia zagrożenia kontynuacji</w:t>
      </w:r>
      <w:r w:rsidR="00B8480A">
        <w:rPr>
          <w:rFonts w:cs="Arial"/>
          <w:bCs/>
          <w:szCs w:val="24"/>
        </w:rPr>
        <w:t xml:space="preserve"> działalności</w:t>
      </w:r>
      <w:r w:rsidRPr="00680AD1">
        <w:rPr>
          <w:rFonts w:cs="Arial"/>
          <w:bCs/>
          <w:szCs w:val="24"/>
        </w:rPr>
        <w:t xml:space="preserve"> Zakładu w następnym roku obrotowym.</w:t>
      </w:r>
    </w:p>
    <w:p w14:paraId="255DFFB3" w14:textId="77777777" w:rsidR="00C95E25" w:rsidRDefault="00C95E25" w:rsidP="001E3452">
      <w:pPr>
        <w:jc w:val="both"/>
        <w:rPr>
          <w:rFonts w:cs="Arial"/>
          <w:b/>
          <w:bCs/>
          <w:szCs w:val="24"/>
        </w:rPr>
      </w:pPr>
    </w:p>
    <w:p w14:paraId="2227496D" w14:textId="77777777" w:rsidR="00C95E25" w:rsidRDefault="00C95E25" w:rsidP="001E3452">
      <w:pPr>
        <w:jc w:val="both"/>
        <w:rPr>
          <w:rFonts w:cs="Arial"/>
          <w:b/>
          <w:bCs/>
          <w:szCs w:val="24"/>
        </w:rPr>
      </w:pPr>
    </w:p>
    <w:p w14:paraId="58389471" w14:textId="3F794F56" w:rsidR="001E3452" w:rsidRDefault="00D00E94" w:rsidP="00D00E94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11" w:name="_Toc482003126"/>
      <w:bookmarkStart w:id="12" w:name="_Toc104448290"/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11FCE" w:rsidRPr="00D00E94">
        <w:rPr>
          <w:rFonts w:ascii="Times New Roman" w:hAnsi="Times New Roman" w:cs="Times New Roman"/>
          <w:sz w:val="24"/>
          <w:szCs w:val="24"/>
        </w:rPr>
        <w:t>PROGNOZA SYTUACJI EKONOMICZNO – FINANSOWEJ NA KOLEJNE TRZY</w:t>
      </w:r>
      <w:r w:rsidR="005B548B">
        <w:rPr>
          <w:rFonts w:ascii="Times New Roman" w:hAnsi="Times New Roman" w:cs="Times New Roman"/>
          <w:sz w:val="24"/>
          <w:szCs w:val="24"/>
        </w:rPr>
        <w:t xml:space="preserve"> LATA OBROTOWE (20</w:t>
      </w:r>
      <w:r w:rsidR="00865D5F">
        <w:rPr>
          <w:rFonts w:ascii="Times New Roman" w:hAnsi="Times New Roman" w:cs="Times New Roman"/>
          <w:sz w:val="24"/>
          <w:szCs w:val="24"/>
        </w:rPr>
        <w:t>2</w:t>
      </w:r>
      <w:r w:rsidR="00265FB0">
        <w:rPr>
          <w:rFonts w:ascii="Times New Roman" w:hAnsi="Times New Roman" w:cs="Times New Roman"/>
          <w:sz w:val="24"/>
          <w:szCs w:val="24"/>
        </w:rPr>
        <w:t>3</w:t>
      </w:r>
      <w:r w:rsidR="005B548B">
        <w:rPr>
          <w:rFonts w:ascii="Times New Roman" w:hAnsi="Times New Roman" w:cs="Times New Roman"/>
          <w:sz w:val="24"/>
          <w:szCs w:val="24"/>
        </w:rPr>
        <w:t>, 202</w:t>
      </w:r>
      <w:r w:rsidR="00265FB0">
        <w:rPr>
          <w:rFonts w:ascii="Times New Roman" w:hAnsi="Times New Roman" w:cs="Times New Roman"/>
          <w:sz w:val="24"/>
          <w:szCs w:val="24"/>
        </w:rPr>
        <w:t>4</w:t>
      </w:r>
      <w:r w:rsidR="005B548B">
        <w:rPr>
          <w:rFonts w:ascii="Times New Roman" w:hAnsi="Times New Roman" w:cs="Times New Roman"/>
          <w:sz w:val="24"/>
          <w:szCs w:val="24"/>
        </w:rPr>
        <w:t>, 202</w:t>
      </w:r>
      <w:r w:rsidR="00265FB0">
        <w:rPr>
          <w:rFonts w:ascii="Times New Roman" w:hAnsi="Times New Roman" w:cs="Times New Roman"/>
          <w:sz w:val="24"/>
          <w:szCs w:val="24"/>
        </w:rPr>
        <w:t>5</w:t>
      </w:r>
      <w:r w:rsidR="00911FCE" w:rsidRPr="00D00E94">
        <w:rPr>
          <w:rFonts w:ascii="Times New Roman" w:hAnsi="Times New Roman" w:cs="Times New Roman"/>
          <w:sz w:val="24"/>
          <w:szCs w:val="24"/>
        </w:rPr>
        <w:t>) WRAZ Z OPISEM PRZYJĘTYCH ZAŁOŻEŃ</w:t>
      </w:r>
      <w:bookmarkEnd w:id="11"/>
      <w:bookmarkEnd w:id="12"/>
    </w:p>
    <w:p w14:paraId="0DA39596" w14:textId="77777777" w:rsidR="00236F95" w:rsidRDefault="00236F95" w:rsidP="00E94801">
      <w:pPr>
        <w:jc w:val="both"/>
        <w:rPr>
          <w:color w:val="548DD4" w:themeColor="text2" w:themeTint="99"/>
        </w:rPr>
      </w:pPr>
    </w:p>
    <w:p w14:paraId="57AE497F" w14:textId="77777777" w:rsidR="00236F95" w:rsidRDefault="00236F95" w:rsidP="00E94801">
      <w:pPr>
        <w:jc w:val="both"/>
        <w:rPr>
          <w:color w:val="548DD4" w:themeColor="text2" w:themeTint="99"/>
        </w:rPr>
      </w:pPr>
    </w:p>
    <w:p w14:paraId="54467B35" w14:textId="77777777" w:rsidR="00210C1A" w:rsidRPr="00E94801" w:rsidRDefault="00210C1A" w:rsidP="00E94801">
      <w:pPr>
        <w:jc w:val="both"/>
        <w:rPr>
          <w:color w:val="548DD4" w:themeColor="text2" w:themeTint="99"/>
        </w:rPr>
      </w:pPr>
    </w:p>
    <w:p w14:paraId="2EF17393" w14:textId="35A939E8" w:rsidR="004E2BEB" w:rsidRPr="00B8480A" w:rsidRDefault="00137AEB" w:rsidP="00416069">
      <w:pPr>
        <w:pStyle w:val="Nagwek2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8480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bookmarkStart w:id="13" w:name="_Toc104448291"/>
      <w:r w:rsidR="009321F7" w:rsidRPr="00B8480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2.1. </w:t>
      </w:r>
      <w:r w:rsidRPr="00B8480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Opis przyjętych założeń makroekonomicznych i mikroekonomicznych z uwzględnieniem ich wpływu na projekcję </w:t>
      </w:r>
      <w:r w:rsidR="00A645D5" w:rsidRPr="00B8480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dotyczącą </w:t>
      </w:r>
      <w:r w:rsidRPr="00B8480A">
        <w:rPr>
          <w:rFonts w:ascii="Times New Roman" w:hAnsi="Times New Roman" w:cs="Times New Roman"/>
          <w:b w:val="0"/>
          <w:color w:val="auto"/>
          <w:sz w:val="24"/>
          <w:szCs w:val="24"/>
        </w:rPr>
        <w:t>sprawozdań finansowych w latach objętych prognozą</w:t>
      </w:r>
      <w:bookmarkEnd w:id="13"/>
      <w:r w:rsidR="005316DB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14:paraId="7FEBA7A3" w14:textId="77777777" w:rsidR="000366FE" w:rsidRPr="001345B2" w:rsidRDefault="000366FE" w:rsidP="000366FE">
      <w:pPr>
        <w:rPr>
          <w:color w:val="FF0000"/>
          <w:szCs w:val="24"/>
        </w:rPr>
      </w:pPr>
    </w:p>
    <w:p w14:paraId="0E8B253C" w14:textId="77777777" w:rsidR="009B7585" w:rsidRPr="001345B2" w:rsidRDefault="009B7585" w:rsidP="009B7585">
      <w:pPr>
        <w:jc w:val="both"/>
        <w:rPr>
          <w:color w:val="FF0000"/>
        </w:rPr>
      </w:pPr>
    </w:p>
    <w:p w14:paraId="68F60767" w14:textId="589AC590" w:rsidR="005316DB" w:rsidRDefault="009B7585" w:rsidP="00210C1A">
      <w:pPr>
        <w:spacing w:line="360" w:lineRule="auto"/>
        <w:jc w:val="both"/>
        <w:rPr>
          <w:rFonts w:cs="Arial"/>
          <w:bCs/>
          <w:szCs w:val="24"/>
        </w:rPr>
      </w:pPr>
      <w:r w:rsidRPr="00B8480A">
        <w:t xml:space="preserve">Precyzyjne przyjęcie założeń do prognozy ekonomiczno-finansowej </w:t>
      </w:r>
      <w:r w:rsidRPr="00B8480A">
        <w:rPr>
          <w:rFonts w:cs="Arial"/>
          <w:bCs/>
          <w:szCs w:val="24"/>
        </w:rPr>
        <w:t>Wojewódzkiego Zakładu Opieki Zdrowotnej nad Matką, Dzieckiem i Młodz</w:t>
      </w:r>
      <w:r w:rsidR="0051113E" w:rsidRPr="00B8480A">
        <w:rPr>
          <w:rFonts w:cs="Arial"/>
          <w:bCs/>
          <w:szCs w:val="24"/>
        </w:rPr>
        <w:t>ieżą</w:t>
      </w:r>
      <w:r w:rsidR="00BE525A" w:rsidRPr="00B8480A">
        <w:rPr>
          <w:rFonts w:cs="Arial"/>
          <w:bCs/>
          <w:szCs w:val="24"/>
        </w:rPr>
        <w:t xml:space="preserve"> w Częstochowie na lata 20</w:t>
      </w:r>
      <w:r w:rsidR="00865D5F" w:rsidRPr="00B8480A">
        <w:rPr>
          <w:rFonts w:cs="Arial"/>
          <w:bCs/>
          <w:szCs w:val="24"/>
        </w:rPr>
        <w:t>2</w:t>
      </w:r>
      <w:r w:rsidR="00A70AC2">
        <w:rPr>
          <w:rFonts w:cs="Arial"/>
          <w:bCs/>
          <w:szCs w:val="24"/>
        </w:rPr>
        <w:t>4</w:t>
      </w:r>
      <w:r w:rsidR="00BE525A" w:rsidRPr="00B8480A">
        <w:rPr>
          <w:rFonts w:cs="Arial"/>
          <w:bCs/>
          <w:szCs w:val="24"/>
        </w:rPr>
        <w:t>-202</w:t>
      </w:r>
      <w:r w:rsidR="00A70AC2">
        <w:rPr>
          <w:rFonts w:cs="Arial"/>
          <w:bCs/>
          <w:szCs w:val="24"/>
        </w:rPr>
        <w:t>6</w:t>
      </w:r>
      <w:r w:rsidRPr="00B8480A">
        <w:rPr>
          <w:rFonts w:cs="Arial"/>
          <w:bCs/>
          <w:szCs w:val="24"/>
        </w:rPr>
        <w:t xml:space="preserve"> jest </w:t>
      </w:r>
      <w:r w:rsidR="00413330" w:rsidRPr="00B8480A">
        <w:rPr>
          <w:rFonts w:cs="Arial"/>
          <w:bCs/>
          <w:szCs w:val="24"/>
        </w:rPr>
        <w:t>trudne</w:t>
      </w:r>
      <w:r w:rsidRPr="00B8480A">
        <w:rPr>
          <w:rFonts w:cs="Arial"/>
          <w:bCs/>
          <w:szCs w:val="24"/>
        </w:rPr>
        <w:t>.</w:t>
      </w:r>
      <w:r w:rsidR="00BE525A" w:rsidRPr="00B8480A">
        <w:rPr>
          <w:rFonts w:cs="Arial"/>
          <w:bCs/>
          <w:szCs w:val="24"/>
        </w:rPr>
        <w:t xml:space="preserve"> </w:t>
      </w:r>
      <w:r w:rsidRPr="00B8480A">
        <w:rPr>
          <w:rFonts w:cs="Arial"/>
          <w:bCs/>
          <w:szCs w:val="24"/>
        </w:rPr>
        <w:t>Zakład na dzień dzisiejszy po</w:t>
      </w:r>
      <w:r w:rsidR="00BE525A" w:rsidRPr="00B8480A">
        <w:rPr>
          <w:rFonts w:cs="Arial"/>
          <w:bCs/>
          <w:szCs w:val="24"/>
        </w:rPr>
        <w:t xml:space="preserve">siada umowy </w:t>
      </w:r>
      <w:r w:rsidR="002511A5" w:rsidRPr="00B8480A">
        <w:rPr>
          <w:rFonts w:cs="Arial"/>
          <w:bCs/>
          <w:szCs w:val="24"/>
        </w:rPr>
        <w:t>z NFZ: w rodzaju Rehabilitacja L</w:t>
      </w:r>
      <w:r w:rsidR="00BE525A" w:rsidRPr="00B8480A">
        <w:rPr>
          <w:rFonts w:cs="Arial"/>
          <w:bCs/>
          <w:szCs w:val="24"/>
        </w:rPr>
        <w:t>ecznicza- do 3</w:t>
      </w:r>
      <w:r w:rsidR="00A70AC2">
        <w:rPr>
          <w:rFonts w:cs="Arial"/>
          <w:bCs/>
          <w:szCs w:val="24"/>
        </w:rPr>
        <w:t>1.12</w:t>
      </w:r>
      <w:r w:rsidR="00BE525A" w:rsidRPr="00B8480A">
        <w:rPr>
          <w:rFonts w:cs="Arial"/>
          <w:bCs/>
          <w:szCs w:val="24"/>
        </w:rPr>
        <w:t>.20</w:t>
      </w:r>
      <w:r w:rsidR="00ED3F21" w:rsidRPr="00B8480A">
        <w:rPr>
          <w:rFonts w:cs="Arial"/>
          <w:bCs/>
          <w:szCs w:val="24"/>
        </w:rPr>
        <w:t>24r</w:t>
      </w:r>
      <w:r w:rsidR="002511A5" w:rsidRPr="00B8480A">
        <w:rPr>
          <w:rFonts w:cs="Arial"/>
          <w:bCs/>
          <w:szCs w:val="24"/>
        </w:rPr>
        <w:t>, Ambulatoryjna Opieka Specjalistyczna</w:t>
      </w:r>
      <w:r w:rsidR="007510FC">
        <w:rPr>
          <w:rFonts w:cs="Arial"/>
          <w:bCs/>
          <w:szCs w:val="24"/>
        </w:rPr>
        <w:t xml:space="preserve"> </w:t>
      </w:r>
      <w:r w:rsidR="002511A5" w:rsidRPr="00B8480A">
        <w:rPr>
          <w:rFonts w:cs="Arial"/>
          <w:bCs/>
          <w:szCs w:val="24"/>
        </w:rPr>
        <w:t>do 3</w:t>
      </w:r>
      <w:r w:rsidR="00A70AC2">
        <w:rPr>
          <w:rFonts w:cs="Arial"/>
          <w:bCs/>
          <w:szCs w:val="24"/>
        </w:rPr>
        <w:t>1.12.2024</w:t>
      </w:r>
      <w:r w:rsidR="00F67BE7" w:rsidRPr="00B8480A">
        <w:rPr>
          <w:rFonts w:cs="Arial"/>
          <w:bCs/>
          <w:szCs w:val="24"/>
        </w:rPr>
        <w:t>r.</w:t>
      </w:r>
      <w:r w:rsidR="00A620A8">
        <w:rPr>
          <w:rFonts w:cs="Arial"/>
          <w:bCs/>
          <w:szCs w:val="24"/>
        </w:rPr>
        <w:t>,</w:t>
      </w:r>
      <w:r w:rsidR="00C42A39" w:rsidRPr="00B8480A">
        <w:rPr>
          <w:rFonts w:cs="Arial"/>
          <w:bCs/>
          <w:szCs w:val="24"/>
        </w:rPr>
        <w:t xml:space="preserve"> w </w:t>
      </w:r>
      <w:r w:rsidR="002511A5" w:rsidRPr="00B8480A">
        <w:rPr>
          <w:rFonts w:cs="Arial"/>
          <w:bCs/>
          <w:szCs w:val="24"/>
        </w:rPr>
        <w:t>rodzaju Opiek</w:t>
      </w:r>
      <w:r w:rsidR="00C42A39" w:rsidRPr="00B8480A">
        <w:rPr>
          <w:rFonts w:cs="Arial"/>
          <w:bCs/>
          <w:szCs w:val="24"/>
        </w:rPr>
        <w:t>a</w:t>
      </w:r>
      <w:r w:rsidR="00621F75" w:rsidRPr="00B8480A">
        <w:rPr>
          <w:rFonts w:cs="Arial"/>
          <w:bCs/>
          <w:szCs w:val="24"/>
        </w:rPr>
        <w:t xml:space="preserve"> </w:t>
      </w:r>
      <w:r w:rsidR="002511A5" w:rsidRPr="00B8480A">
        <w:rPr>
          <w:rFonts w:cs="Arial"/>
          <w:bCs/>
          <w:szCs w:val="24"/>
        </w:rPr>
        <w:t>Psychiatryczn</w:t>
      </w:r>
      <w:r w:rsidR="00C42A39" w:rsidRPr="00B8480A">
        <w:rPr>
          <w:rFonts w:cs="Arial"/>
          <w:bCs/>
          <w:szCs w:val="24"/>
        </w:rPr>
        <w:t>a</w:t>
      </w:r>
      <w:r w:rsidR="002511A5" w:rsidRPr="00B8480A">
        <w:rPr>
          <w:rFonts w:cs="Arial"/>
          <w:bCs/>
          <w:szCs w:val="24"/>
        </w:rPr>
        <w:t xml:space="preserve"> i Leczenia Uzależnień</w:t>
      </w:r>
      <w:r w:rsidR="007510FC">
        <w:rPr>
          <w:rFonts w:cs="Arial"/>
          <w:bCs/>
          <w:szCs w:val="24"/>
        </w:rPr>
        <w:t xml:space="preserve"> w Poradni Zdrowia Psychicznego dla dzieci i dorosłych</w:t>
      </w:r>
      <w:r w:rsidR="002511A5" w:rsidRPr="00B8480A">
        <w:rPr>
          <w:rFonts w:cs="Arial"/>
          <w:bCs/>
          <w:szCs w:val="24"/>
        </w:rPr>
        <w:t xml:space="preserve"> </w:t>
      </w:r>
      <w:r w:rsidR="00F67BE7" w:rsidRPr="00B8480A">
        <w:rPr>
          <w:rFonts w:cs="Arial"/>
          <w:bCs/>
          <w:szCs w:val="24"/>
        </w:rPr>
        <w:t>do</w:t>
      </w:r>
      <w:r w:rsidR="00F67BE7" w:rsidRPr="001345B2">
        <w:rPr>
          <w:rFonts w:cs="Arial"/>
          <w:bCs/>
          <w:color w:val="FF0000"/>
          <w:szCs w:val="24"/>
        </w:rPr>
        <w:t xml:space="preserve"> </w:t>
      </w:r>
      <w:r w:rsidR="00F67BE7" w:rsidRPr="00B8480A">
        <w:rPr>
          <w:rFonts w:cs="Arial"/>
          <w:bCs/>
          <w:szCs w:val="24"/>
        </w:rPr>
        <w:t>3</w:t>
      </w:r>
      <w:r w:rsidR="00A70AC2">
        <w:rPr>
          <w:rFonts w:cs="Arial"/>
          <w:bCs/>
          <w:szCs w:val="24"/>
        </w:rPr>
        <w:t>1.12.2024</w:t>
      </w:r>
      <w:r w:rsidR="00F67BE7" w:rsidRPr="00B8480A">
        <w:rPr>
          <w:rFonts w:cs="Arial"/>
          <w:bCs/>
          <w:szCs w:val="24"/>
        </w:rPr>
        <w:t xml:space="preserve"> r</w:t>
      </w:r>
      <w:r w:rsidR="00C42A39" w:rsidRPr="00B8480A">
        <w:rPr>
          <w:rFonts w:cs="Arial"/>
          <w:bCs/>
          <w:szCs w:val="24"/>
        </w:rPr>
        <w:t>.</w:t>
      </w:r>
      <w:r w:rsidR="007510FC">
        <w:rPr>
          <w:rFonts w:cs="Arial"/>
          <w:bCs/>
          <w:szCs w:val="24"/>
        </w:rPr>
        <w:t xml:space="preserve"> i w Poradni Psychologicznej dla dzieci i młodzieży do 31.03.2025r.</w:t>
      </w:r>
      <w:r w:rsidR="005316DB">
        <w:rPr>
          <w:rFonts w:cs="Arial"/>
          <w:bCs/>
          <w:szCs w:val="24"/>
        </w:rPr>
        <w:t xml:space="preserve"> </w:t>
      </w:r>
    </w:p>
    <w:p w14:paraId="0B201C95" w14:textId="319FDE8D" w:rsidR="009B7585" w:rsidRDefault="006B0B6B" w:rsidP="00210C1A">
      <w:pPr>
        <w:spacing w:line="360" w:lineRule="auto"/>
        <w:jc w:val="both"/>
        <w:rPr>
          <w:rFonts w:cs="Arial"/>
          <w:bCs/>
          <w:szCs w:val="24"/>
        </w:rPr>
      </w:pPr>
      <w:r w:rsidRPr="00B8480A">
        <w:rPr>
          <w:rFonts w:cs="Arial"/>
          <w:bCs/>
          <w:szCs w:val="24"/>
        </w:rPr>
        <w:t>Mimo zawartych wieloletnich umów finansowanie świadczeń zdrowotnych proponowane przez NFZ obejmuje maksymalnie 1 rok</w:t>
      </w:r>
      <w:r w:rsidR="00A70AC2">
        <w:rPr>
          <w:rFonts w:cs="Arial"/>
          <w:bCs/>
          <w:szCs w:val="24"/>
        </w:rPr>
        <w:t>,</w:t>
      </w:r>
      <w:r w:rsidRPr="00B8480A">
        <w:rPr>
          <w:rFonts w:cs="Arial"/>
          <w:bCs/>
          <w:szCs w:val="24"/>
        </w:rPr>
        <w:t xml:space="preserve"> Zakład nie zna wi</w:t>
      </w:r>
      <w:r w:rsidR="00A70AC2">
        <w:rPr>
          <w:rFonts w:cs="Arial"/>
          <w:bCs/>
          <w:szCs w:val="24"/>
        </w:rPr>
        <w:t>ę</w:t>
      </w:r>
      <w:r w:rsidRPr="00B8480A">
        <w:rPr>
          <w:rFonts w:cs="Arial"/>
          <w:bCs/>
          <w:szCs w:val="24"/>
        </w:rPr>
        <w:t>c przychodów z NFZ na lata 202</w:t>
      </w:r>
      <w:r w:rsidR="00A70AC2">
        <w:rPr>
          <w:rFonts w:cs="Arial"/>
          <w:bCs/>
          <w:szCs w:val="24"/>
        </w:rPr>
        <w:t>5</w:t>
      </w:r>
      <w:r w:rsidRPr="00B8480A">
        <w:rPr>
          <w:rFonts w:cs="Arial"/>
          <w:bCs/>
          <w:szCs w:val="24"/>
        </w:rPr>
        <w:t xml:space="preserve"> i 202</w:t>
      </w:r>
      <w:r w:rsidR="00A70AC2">
        <w:rPr>
          <w:rFonts w:cs="Arial"/>
          <w:bCs/>
          <w:szCs w:val="24"/>
        </w:rPr>
        <w:t>6</w:t>
      </w:r>
      <w:r w:rsidRPr="00B8480A">
        <w:rPr>
          <w:rFonts w:cs="Arial"/>
          <w:bCs/>
          <w:szCs w:val="24"/>
        </w:rPr>
        <w:t>.</w:t>
      </w:r>
      <w:r w:rsidR="00C42A39" w:rsidRPr="00B8480A">
        <w:rPr>
          <w:rFonts w:cs="Arial"/>
          <w:bCs/>
          <w:szCs w:val="24"/>
        </w:rPr>
        <w:t xml:space="preserve"> Tym samym</w:t>
      </w:r>
      <w:r w:rsidR="00413330" w:rsidRPr="00B8480A">
        <w:rPr>
          <w:rFonts w:cs="Arial"/>
          <w:bCs/>
          <w:szCs w:val="24"/>
        </w:rPr>
        <w:t xml:space="preserve"> rzetelne</w:t>
      </w:r>
      <w:r w:rsidR="00C42A39" w:rsidRPr="00B8480A">
        <w:rPr>
          <w:rFonts w:cs="Arial"/>
          <w:bCs/>
          <w:szCs w:val="24"/>
        </w:rPr>
        <w:t xml:space="preserve"> określenie całkowitych przychodów do roku 202</w:t>
      </w:r>
      <w:r w:rsidR="00A70AC2">
        <w:rPr>
          <w:rFonts w:cs="Arial"/>
          <w:bCs/>
          <w:szCs w:val="24"/>
        </w:rPr>
        <w:t>6</w:t>
      </w:r>
      <w:r w:rsidR="00C42A39" w:rsidRPr="00B8480A">
        <w:rPr>
          <w:rFonts w:cs="Arial"/>
          <w:bCs/>
          <w:szCs w:val="24"/>
        </w:rPr>
        <w:t xml:space="preserve"> jest niemożliwe.</w:t>
      </w:r>
    </w:p>
    <w:p w14:paraId="74BE7C9C" w14:textId="2CFE976E" w:rsidR="009D476F" w:rsidRPr="00FE0D68" w:rsidRDefault="00DD2D95" w:rsidP="009D476F">
      <w:pPr>
        <w:spacing w:line="360" w:lineRule="auto"/>
        <w:jc w:val="both"/>
        <w:rPr>
          <w:rFonts w:eastAsiaTheme="minorHAnsi"/>
          <w:szCs w:val="24"/>
          <w:lang w:eastAsia="en-US"/>
        </w:rPr>
      </w:pPr>
      <w:r>
        <w:rPr>
          <w:rFonts w:cs="Arial"/>
          <w:bCs/>
          <w:szCs w:val="24"/>
        </w:rPr>
        <w:t>Ustawowe podwyżki Ministr</w:t>
      </w:r>
      <w:r w:rsidR="002A4C96">
        <w:rPr>
          <w:rFonts w:cs="Arial"/>
          <w:bCs/>
          <w:szCs w:val="24"/>
        </w:rPr>
        <w:t>a</w:t>
      </w:r>
      <w:r>
        <w:rPr>
          <w:rFonts w:cs="Arial"/>
          <w:bCs/>
          <w:szCs w:val="24"/>
        </w:rPr>
        <w:t xml:space="preserve"> Zdrowia, które</w:t>
      </w:r>
      <w:r w:rsidR="00A70AC2">
        <w:rPr>
          <w:rFonts w:cs="Arial"/>
          <w:bCs/>
          <w:szCs w:val="24"/>
        </w:rPr>
        <w:t xml:space="preserve"> obowiązują</w:t>
      </w:r>
      <w:r>
        <w:rPr>
          <w:rFonts w:cs="Arial"/>
          <w:bCs/>
          <w:szCs w:val="24"/>
        </w:rPr>
        <w:t xml:space="preserve"> od lipca 202</w:t>
      </w:r>
      <w:r w:rsidR="007510FC">
        <w:rPr>
          <w:rFonts w:cs="Arial"/>
          <w:bCs/>
          <w:szCs w:val="24"/>
        </w:rPr>
        <w:t>3</w:t>
      </w:r>
      <w:r>
        <w:rPr>
          <w:rFonts w:cs="Arial"/>
          <w:bCs/>
          <w:szCs w:val="24"/>
        </w:rPr>
        <w:t xml:space="preserve"> muszą znaleźć odzwierciedlenie w przychodach z NFZ, gdyż tylko Fundusz ma możliwości finansowe </w:t>
      </w:r>
      <w:r>
        <w:rPr>
          <w:rFonts w:cs="Arial"/>
          <w:bCs/>
          <w:szCs w:val="24"/>
        </w:rPr>
        <w:lastRenderedPageBreak/>
        <w:t xml:space="preserve">zabezpieczenia regulacji ustawowych ze względu na ich wysokość. Podwyżki nie mogą dotyczyć wyłącznie pracowników medycznych (założenie ustawowe). Wstępne wyliczenia podwyżki wynagrodzeń pracowników Wojewódzkiego Zakładu Opieki </w:t>
      </w:r>
      <w:r w:rsidR="00FE0D68">
        <w:rPr>
          <w:rFonts w:cs="Arial"/>
          <w:bCs/>
          <w:szCs w:val="24"/>
        </w:rPr>
        <w:t>Z</w:t>
      </w:r>
      <w:r>
        <w:rPr>
          <w:rFonts w:cs="Arial"/>
          <w:bCs/>
          <w:szCs w:val="24"/>
        </w:rPr>
        <w:t>drowotnej nad Matką, Dzieckiem i Młodzieżą</w:t>
      </w:r>
      <w:r w:rsidR="00A80364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kształtują się na poziomie </w:t>
      </w:r>
      <w:r w:rsidR="00F84D0B">
        <w:rPr>
          <w:rFonts w:cs="Arial"/>
          <w:bCs/>
          <w:szCs w:val="24"/>
        </w:rPr>
        <w:t>1 481 768,40</w:t>
      </w:r>
      <w:r>
        <w:rPr>
          <w:rFonts w:cs="Arial"/>
          <w:bCs/>
          <w:szCs w:val="24"/>
        </w:rPr>
        <w:t xml:space="preserve">zł rocznie. Stąd </w:t>
      </w:r>
      <w:r w:rsidR="00594D62">
        <w:rPr>
          <w:rFonts w:cs="Arial"/>
          <w:bCs/>
          <w:szCs w:val="24"/>
        </w:rPr>
        <w:t>w prognozach znaczący wzrost w przychodach z NFZ oraz kosztach pracowników etatowych i kontraktowych w roku 202</w:t>
      </w:r>
      <w:r w:rsidR="00A70AC2">
        <w:rPr>
          <w:rFonts w:cs="Arial"/>
          <w:bCs/>
          <w:szCs w:val="24"/>
        </w:rPr>
        <w:t>4</w:t>
      </w:r>
      <w:r w:rsidR="00594D62">
        <w:rPr>
          <w:rFonts w:cs="Arial"/>
          <w:bCs/>
          <w:szCs w:val="24"/>
        </w:rPr>
        <w:t xml:space="preserve"> </w:t>
      </w:r>
      <w:r w:rsidR="00A70AC2">
        <w:rPr>
          <w:rFonts w:cs="Arial"/>
          <w:bCs/>
          <w:szCs w:val="24"/>
        </w:rPr>
        <w:t>-</w:t>
      </w:r>
      <w:r w:rsidR="00594D62">
        <w:rPr>
          <w:rFonts w:cs="Arial"/>
          <w:bCs/>
          <w:szCs w:val="24"/>
        </w:rPr>
        <w:t xml:space="preserve"> 202</w:t>
      </w:r>
      <w:r w:rsidR="00A70AC2">
        <w:rPr>
          <w:rFonts w:cs="Arial"/>
          <w:bCs/>
          <w:szCs w:val="24"/>
        </w:rPr>
        <w:t>6</w:t>
      </w:r>
      <w:r w:rsidR="00594D62">
        <w:rPr>
          <w:rFonts w:cs="Arial"/>
          <w:bCs/>
          <w:szCs w:val="24"/>
        </w:rPr>
        <w:t xml:space="preserve">. Prognoza przewiduje również wypracowanie zysku </w:t>
      </w:r>
      <w:r w:rsidR="00A70AC2">
        <w:rPr>
          <w:rFonts w:cs="Arial"/>
          <w:bCs/>
          <w:szCs w:val="24"/>
        </w:rPr>
        <w:t xml:space="preserve"> i przeznaczenie go na fundusz zapasowy Zakładu. </w:t>
      </w:r>
      <w:r w:rsidR="00594D62">
        <w:rPr>
          <w:rFonts w:cs="Arial"/>
          <w:bCs/>
          <w:szCs w:val="24"/>
        </w:rPr>
        <w:t xml:space="preserve">Czas zakończenia przez Zakład dotychczasowych umów z NFZ najprawdopodobniej wymusi nowe konkursy, a co za tym idzie zwiększenie finansowania. </w:t>
      </w:r>
      <w:r w:rsidR="009D476F" w:rsidRPr="00FE0D68">
        <w:rPr>
          <w:rFonts w:eastAsiaTheme="minorHAnsi"/>
          <w:szCs w:val="24"/>
          <w:lang w:eastAsia="en-US"/>
        </w:rPr>
        <w:t>Przyjęty został wzrost zatrudnienia w grupach lekarzy specjalistów (przede wszystkim lekarzy ze specjalizacją z</w:t>
      </w:r>
      <w:r w:rsidR="00F84D0B">
        <w:rPr>
          <w:rFonts w:eastAsiaTheme="minorHAnsi"/>
          <w:szCs w:val="24"/>
          <w:lang w:eastAsia="en-US"/>
        </w:rPr>
        <w:t xml:space="preserve"> chirurgii urazowo ortopedycznej, neurologii,</w:t>
      </w:r>
      <w:r w:rsidR="009D476F" w:rsidRPr="00FE0D68">
        <w:rPr>
          <w:rFonts w:eastAsiaTheme="minorHAnsi"/>
          <w:szCs w:val="24"/>
          <w:lang w:eastAsia="en-US"/>
        </w:rPr>
        <w:t xml:space="preserve"> alergologii, psychiatrii dzieci i młodzieży a także gastroenterologii), psycho</w:t>
      </w:r>
      <w:r w:rsidR="00F84D0B">
        <w:rPr>
          <w:rFonts w:eastAsiaTheme="minorHAnsi"/>
          <w:szCs w:val="24"/>
          <w:lang w:eastAsia="en-US"/>
        </w:rPr>
        <w:t>terapeutę</w:t>
      </w:r>
      <w:r w:rsidR="009D476F" w:rsidRPr="00FE0D68">
        <w:rPr>
          <w:rFonts w:eastAsiaTheme="minorHAnsi"/>
          <w:szCs w:val="24"/>
          <w:lang w:eastAsia="en-US"/>
        </w:rPr>
        <w:t xml:space="preserve"> z uwagi na dynamiczny rozwój Poradni </w:t>
      </w:r>
      <w:r w:rsidR="00FE0D68">
        <w:rPr>
          <w:rFonts w:eastAsiaTheme="minorHAnsi"/>
          <w:szCs w:val="24"/>
          <w:lang w:eastAsia="en-US"/>
        </w:rPr>
        <w:t>P</w:t>
      </w:r>
      <w:r w:rsidR="009D476F" w:rsidRPr="00FE0D68">
        <w:rPr>
          <w:rFonts w:eastAsiaTheme="minorHAnsi"/>
          <w:szCs w:val="24"/>
          <w:lang w:eastAsia="en-US"/>
        </w:rPr>
        <w:t>sychologicznej dla dzieci i młodzieży, a także zatrudnienie pielęgniarki i sekretarek medycznych.</w:t>
      </w:r>
    </w:p>
    <w:p w14:paraId="5B7F274C" w14:textId="03454A5C" w:rsidR="008C1020" w:rsidRPr="009D476F" w:rsidRDefault="002D3343" w:rsidP="009D476F">
      <w:pPr>
        <w:spacing w:line="360" w:lineRule="auto"/>
        <w:jc w:val="both"/>
      </w:pPr>
      <w:r w:rsidRPr="009D476F">
        <w:t>Prognozowane wskaźniki finansowe w latach 202</w:t>
      </w:r>
      <w:r w:rsidR="00A70AC2">
        <w:t>4</w:t>
      </w:r>
      <w:r w:rsidRPr="009D476F">
        <w:t>-202</w:t>
      </w:r>
      <w:r w:rsidR="00A70AC2">
        <w:t>6</w:t>
      </w:r>
      <w:r w:rsidRPr="009D476F">
        <w:t xml:space="preserve"> wykazują  tendencję wz</w:t>
      </w:r>
      <w:r w:rsidR="008F4651" w:rsidRPr="009D476F">
        <w:t>rostową w</w:t>
      </w:r>
      <w:r w:rsidR="00416069" w:rsidRPr="009D476F">
        <w:t> </w:t>
      </w:r>
      <w:r w:rsidR="008F4651" w:rsidRPr="009D476F">
        <w:t>stosunku</w:t>
      </w:r>
      <w:r w:rsidR="00A70AC2">
        <w:t xml:space="preserve"> do </w:t>
      </w:r>
      <w:r w:rsidR="008F4651" w:rsidRPr="009D476F">
        <w:t>wartości wynikających z planu finansowego Zakładu na rok 20</w:t>
      </w:r>
      <w:r w:rsidR="00426535" w:rsidRPr="009D476F">
        <w:t>2</w:t>
      </w:r>
      <w:r w:rsidR="00A70AC2">
        <w:t>4</w:t>
      </w:r>
      <w:r w:rsidR="008F4651" w:rsidRPr="009D476F">
        <w:t>.</w:t>
      </w:r>
    </w:p>
    <w:p w14:paraId="7EAFB424" w14:textId="7EDEF4AC" w:rsidR="00416069" w:rsidRPr="009D476F" w:rsidRDefault="00D10735" w:rsidP="009D476F">
      <w:pPr>
        <w:spacing w:line="360" w:lineRule="auto"/>
        <w:jc w:val="both"/>
      </w:pPr>
      <w:r w:rsidRPr="009D476F">
        <w:t>Poniższe tabele obrazują dynamikę pr</w:t>
      </w:r>
      <w:r w:rsidR="00621F75" w:rsidRPr="009D476F">
        <w:t>ognozowanych zmian w latach 20</w:t>
      </w:r>
      <w:r w:rsidR="00426535" w:rsidRPr="009D476F">
        <w:t>2</w:t>
      </w:r>
      <w:r w:rsidR="00A70AC2">
        <w:t>4</w:t>
      </w:r>
      <w:r w:rsidRPr="009D476F">
        <w:t>-</w:t>
      </w:r>
      <w:r w:rsidR="00621F75" w:rsidRPr="009D476F">
        <w:t>202</w:t>
      </w:r>
      <w:r w:rsidR="00A70AC2">
        <w:t>6</w:t>
      </w:r>
      <w:r w:rsidRPr="009D476F">
        <w:t>.</w:t>
      </w:r>
    </w:p>
    <w:p w14:paraId="359EC78F" w14:textId="77777777" w:rsidR="00416069" w:rsidRDefault="00416069" w:rsidP="009D476F">
      <w:pPr>
        <w:widowControl/>
        <w:suppressAutoHyphens w:val="0"/>
        <w:jc w:val="both"/>
      </w:pPr>
      <w:r>
        <w:br w:type="page"/>
      </w:r>
    </w:p>
    <w:tbl>
      <w:tblPr>
        <w:tblW w:w="95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350"/>
        <w:gridCol w:w="851"/>
        <w:gridCol w:w="895"/>
        <w:gridCol w:w="160"/>
        <w:gridCol w:w="646"/>
        <w:gridCol w:w="759"/>
        <w:gridCol w:w="91"/>
        <w:gridCol w:w="69"/>
        <w:gridCol w:w="707"/>
        <w:gridCol w:w="698"/>
        <w:gridCol w:w="227"/>
        <w:gridCol w:w="776"/>
        <w:gridCol w:w="562"/>
        <w:gridCol w:w="227"/>
      </w:tblGrid>
      <w:tr w:rsidR="00210C1A" w:rsidRPr="00210C1A" w14:paraId="4F69ECB9" w14:textId="77777777" w:rsidTr="00D368EA">
        <w:trPr>
          <w:trHeight w:val="360"/>
        </w:trPr>
        <w:tc>
          <w:tcPr>
            <w:tcW w:w="62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83CE" w14:textId="77777777" w:rsidR="00210C1A" w:rsidRPr="00210C1A" w:rsidRDefault="00210C1A" w:rsidP="00210C1A">
            <w:pPr>
              <w:widowControl/>
              <w:suppressAutoHyphens w:val="0"/>
              <w:rPr>
                <w:rFonts w:ascii="Arial CE" w:eastAsia="Times New Roman" w:hAnsi="Arial CE" w:cs="Arial CE"/>
                <w:b/>
                <w:szCs w:val="22"/>
                <w:lang w:eastAsia="pl-PL"/>
              </w:rPr>
            </w:pPr>
            <w:r w:rsidRPr="00210C1A">
              <w:rPr>
                <w:rFonts w:ascii="Arial CE" w:eastAsia="Times New Roman" w:hAnsi="Arial CE" w:cs="Arial CE"/>
                <w:b/>
                <w:sz w:val="22"/>
                <w:szCs w:val="22"/>
                <w:lang w:eastAsia="pl-PL"/>
              </w:rPr>
              <w:lastRenderedPageBreak/>
              <w:t>Struktura zatrud</w:t>
            </w:r>
            <w:r>
              <w:rPr>
                <w:rFonts w:ascii="Arial CE" w:eastAsia="Times New Roman" w:hAnsi="Arial CE" w:cs="Arial CE"/>
                <w:b/>
                <w:sz w:val="22"/>
                <w:szCs w:val="22"/>
                <w:lang w:eastAsia="pl-PL"/>
              </w:rPr>
              <w:t>nienia łącznie umów etatowych i</w:t>
            </w:r>
            <w:r w:rsidR="008B0F8E">
              <w:rPr>
                <w:rFonts w:ascii="Arial CE" w:eastAsia="Times New Roman" w:hAnsi="Arial CE" w:cs="Arial CE"/>
                <w:b/>
                <w:sz w:val="22"/>
                <w:szCs w:val="22"/>
                <w:lang w:eastAsia="pl-PL"/>
              </w:rPr>
              <w:t xml:space="preserve"> </w:t>
            </w:r>
            <w:r w:rsidRPr="00210C1A">
              <w:rPr>
                <w:rFonts w:ascii="Arial CE" w:eastAsia="Times New Roman" w:hAnsi="Arial CE" w:cs="Arial CE"/>
                <w:b/>
                <w:sz w:val="22"/>
                <w:szCs w:val="22"/>
                <w:lang w:eastAsia="pl-PL"/>
              </w:rPr>
              <w:t>cywilnoprawnych.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3AEB" w14:textId="77777777" w:rsidR="00210C1A" w:rsidRPr="00210C1A" w:rsidRDefault="00210C1A" w:rsidP="00210C1A">
            <w:pPr>
              <w:widowControl/>
              <w:suppressAutoHyphens w:val="0"/>
              <w:rPr>
                <w:rFonts w:ascii="Arial CE" w:eastAsia="Times New Roman" w:hAnsi="Arial CE" w:cs="Arial CE"/>
                <w:b/>
                <w:szCs w:val="22"/>
                <w:lang w:eastAsia="pl-P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3557" w14:textId="77777777" w:rsidR="00210C1A" w:rsidRPr="00210C1A" w:rsidRDefault="00210C1A" w:rsidP="00210C1A">
            <w:pPr>
              <w:widowControl/>
              <w:suppressAutoHyphens w:val="0"/>
              <w:rPr>
                <w:rFonts w:ascii="Arial CE" w:eastAsia="Times New Roman" w:hAnsi="Arial CE" w:cs="Arial CE"/>
                <w:szCs w:val="22"/>
                <w:lang w:eastAsia="pl-PL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40FE" w14:textId="77777777" w:rsidR="00210C1A" w:rsidRPr="00210C1A" w:rsidRDefault="00210C1A" w:rsidP="00210C1A">
            <w:pPr>
              <w:widowControl/>
              <w:suppressAutoHyphens w:val="0"/>
              <w:rPr>
                <w:rFonts w:ascii="Arial CE" w:eastAsia="Times New Roman" w:hAnsi="Arial CE" w:cs="Arial CE"/>
                <w:szCs w:val="22"/>
                <w:lang w:eastAsia="pl-P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29D0" w14:textId="77777777" w:rsidR="00210C1A" w:rsidRPr="00210C1A" w:rsidRDefault="00210C1A" w:rsidP="00210C1A">
            <w:pPr>
              <w:widowControl/>
              <w:suppressAutoHyphens w:val="0"/>
              <w:rPr>
                <w:rFonts w:ascii="Arial CE" w:eastAsia="Times New Roman" w:hAnsi="Arial CE" w:cs="Arial CE"/>
                <w:szCs w:val="22"/>
                <w:lang w:eastAsia="pl-PL"/>
              </w:rPr>
            </w:pPr>
          </w:p>
        </w:tc>
      </w:tr>
      <w:tr w:rsidR="00210C1A" w:rsidRPr="00210C1A" w14:paraId="7BFB8212" w14:textId="77777777" w:rsidTr="00D368EA">
        <w:trPr>
          <w:trHeight w:val="3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5F15" w14:textId="77777777" w:rsidR="00210C1A" w:rsidRPr="00210C1A" w:rsidRDefault="00210C1A" w:rsidP="00210C1A">
            <w:pPr>
              <w:widowControl/>
              <w:suppressAutoHyphens w:val="0"/>
              <w:rPr>
                <w:rFonts w:ascii="Arial CE" w:eastAsia="Times New Roman" w:hAnsi="Arial CE" w:cs="Arial CE"/>
                <w:szCs w:val="22"/>
                <w:lang w:eastAsia="pl-PL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755C" w14:textId="77777777" w:rsidR="00210C1A" w:rsidRPr="00210C1A" w:rsidRDefault="00210C1A" w:rsidP="00210C1A">
            <w:pPr>
              <w:widowControl/>
              <w:suppressAutoHyphens w:val="0"/>
              <w:rPr>
                <w:rFonts w:ascii="Arial CE" w:eastAsia="Times New Roman" w:hAnsi="Arial CE" w:cs="Arial CE"/>
                <w:szCs w:val="22"/>
                <w:lang w:eastAsia="pl-PL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FDE7" w14:textId="77777777" w:rsidR="00210C1A" w:rsidRPr="00210C1A" w:rsidRDefault="00210C1A" w:rsidP="00210C1A">
            <w:pPr>
              <w:widowControl/>
              <w:suppressAutoHyphens w:val="0"/>
              <w:rPr>
                <w:rFonts w:ascii="Arial CE" w:eastAsia="Times New Roman" w:hAnsi="Arial CE" w:cs="Arial CE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323B" w14:textId="77777777" w:rsidR="00210C1A" w:rsidRPr="00210C1A" w:rsidRDefault="00210C1A" w:rsidP="00210C1A">
            <w:pPr>
              <w:widowControl/>
              <w:suppressAutoHyphens w:val="0"/>
              <w:rPr>
                <w:rFonts w:ascii="Arial CE" w:eastAsia="Times New Roman" w:hAnsi="Arial CE" w:cs="Arial CE"/>
                <w:szCs w:val="22"/>
                <w:lang w:eastAsia="pl-PL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B475" w14:textId="77777777" w:rsidR="00210C1A" w:rsidRPr="00210C1A" w:rsidRDefault="00210C1A" w:rsidP="00210C1A">
            <w:pPr>
              <w:widowControl/>
              <w:suppressAutoHyphens w:val="0"/>
              <w:rPr>
                <w:rFonts w:ascii="Arial CE" w:eastAsia="Times New Roman" w:hAnsi="Arial CE" w:cs="Arial CE"/>
                <w:szCs w:val="22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E118" w14:textId="77777777" w:rsidR="00210C1A" w:rsidRPr="00210C1A" w:rsidRDefault="00210C1A" w:rsidP="00210C1A">
            <w:pPr>
              <w:widowControl/>
              <w:suppressAutoHyphens w:val="0"/>
              <w:rPr>
                <w:rFonts w:ascii="Arial CE" w:eastAsia="Times New Roman" w:hAnsi="Arial CE" w:cs="Arial CE"/>
                <w:szCs w:val="22"/>
                <w:lang w:eastAsia="pl-PL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2178" w14:textId="77777777" w:rsidR="00210C1A" w:rsidRPr="00210C1A" w:rsidRDefault="00210C1A" w:rsidP="00210C1A">
            <w:pPr>
              <w:widowControl/>
              <w:suppressAutoHyphens w:val="0"/>
              <w:rPr>
                <w:rFonts w:ascii="Arial CE" w:eastAsia="Times New Roman" w:hAnsi="Arial CE" w:cs="Arial CE"/>
                <w:szCs w:val="22"/>
                <w:lang w:eastAsia="pl-P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EAF0" w14:textId="77777777" w:rsidR="00210C1A" w:rsidRPr="00210C1A" w:rsidRDefault="00210C1A" w:rsidP="00210C1A">
            <w:pPr>
              <w:widowControl/>
              <w:suppressAutoHyphens w:val="0"/>
              <w:rPr>
                <w:rFonts w:ascii="Arial CE" w:eastAsia="Times New Roman" w:hAnsi="Arial CE" w:cs="Arial CE"/>
                <w:szCs w:val="22"/>
                <w:lang w:eastAsia="pl-PL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B3B4" w14:textId="77777777" w:rsidR="00210C1A" w:rsidRPr="00210C1A" w:rsidRDefault="00210C1A" w:rsidP="00210C1A">
            <w:pPr>
              <w:widowControl/>
              <w:suppressAutoHyphens w:val="0"/>
              <w:rPr>
                <w:rFonts w:ascii="Arial CE" w:eastAsia="Times New Roman" w:hAnsi="Arial CE" w:cs="Arial CE"/>
                <w:szCs w:val="22"/>
                <w:lang w:eastAsia="pl-P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FB47" w14:textId="77777777" w:rsidR="00210C1A" w:rsidRPr="00210C1A" w:rsidRDefault="00210C1A" w:rsidP="00210C1A">
            <w:pPr>
              <w:widowControl/>
              <w:suppressAutoHyphens w:val="0"/>
              <w:rPr>
                <w:rFonts w:ascii="Arial CE" w:eastAsia="Times New Roman" w:hAnsi="Arial CE" w:cs="Arial CE"/>
                <w:szCs w:val="22"/>
                <w:lang w:eastAsia="pl-PL"/>
              </w:rPr>
            </w:pPr>
          </w:p>
        </w:tc>
      </w:tr>
      <w:tr w:rsidR="00210C1A" w:rsidRPr="001345B2" w14:paraId="5C0DD956" w14:textId="77777777" w:rsidTr="00D368EA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DDFA" w14:textId="77777777" w:rsidR="00210C1A" w:rsidRPr="006D7B23" w:rsidRDefault="00210C1A" w:rsidP="00210C1A">
            <w:pPr>
              <w:widowControl/>
              <w:suppressAutoHyphens w:val="0"/>
              <w:rPr>
                <w:rFonts w:ascii="Arial CE" w:eastAsia="Times New Roman" w:hAnsi="Arial CE" w:cs="Arial CE"/>
                <w:szCs w:val="22"/>
                <w:lang w:eastAsia="pl-PL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C052" w14:textId="77777777" w:rsidR="00210C1A" w:rsidRPr="006D7B23" w:rsidRDefault="00210C1A" w:rsidP="00210C1A">
            <w:pPr>
              <w:widowControl/>
              <w:suppressAutoHyphens w:val="0"/>
              <w:rPr>
                <w:rFonts w:ascii="Arial CE" w:eastAsia="Times New Roman" w:hAnsi="Arial CE" w:cs="Arial CE"/>
                <w:szCs w:val="22"/>
                <w:lang w:eastAsia="pl-PL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FF768" w14:textId="1EAA77C8" w:rsidR="00210C1A" w:rsidRPr="006D7B23" w:rsidRDefault="00210C1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6D7B23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Rok 20</w:t>
            </w:r>
            <w:r w:rsidR="00583878" w:rsidRPr="006D7B23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2</w:t>
            </w:r>
            <w:r w:rsidR="00326236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65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34704" w14:textId="0A0B6424" w:rsidR="00210C1A" w:rsidRPr="003D43FD" w:rsidRDefault="00210C1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3D43FD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Rok 20</w:t>
            </w:r>
            <w:r w:rsidR="00762E8C" w:rsidRPr="003D43FD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2</w:t>
            </w:r>
            <w:r w:rsidR="00326236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85692" w14:textId="0A3DBBEA" w:rsidR="00210C1A" w:rsidRPr="003D43FD" w:rsidRDefault="00210C1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3D43FD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Rok 20</w:t>
            </w:r>
            <w:r w:rsidR="00AB5F4A" w:rsidRPr="003D43FD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2</w:t>
            </w:r>
            <w:r w:rsidR="00326236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DEB05" w14:textId="34BC71DC" w:rsidR="00210C1A" w:rsidRPr="003D43FD" w:rsidRDefault="00210C1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3D43FD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Rok 20</w:t>
            </w:r>
            <w:r w:rsidR="00DA1C72" w:rsidRPr="003D43FD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2</w:t>
            </w:r>
            <w:r w:rsidR="00326236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6</w:t>
            </w:r>
          </w:p>
        </w:tc>
      </w:tr>
      <w:tr w:rsidR="00BC68A0" w:rsidRPr="001345B2" w14:paraId="2587352C" w14:textId="77777777" w:rsidTr="00D368EA">
        <w:trPr>
          <w:trHeight w:val="59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78CC4" w14:textId="77777777" w:rsidR="00210C1A" w:rsidRPr="006D7B23" w:rsidRDefault="00210C1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6D7B23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FEA7C" w14:textId="77777777" w:rsidR="00210C1A" w:rsidRPr="006D7B23" w:rsidRDefault="00210C1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6D7B23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Grupa zawodowa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3621F" w14:textId="77777777" w:rsidR="00210C1A" w:rsidRPr="006D7B23" w:rsidRDefault="00210C1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6D7B23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Liczba osób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83F9D" w14:textId="77777777" w:rsidR="00210C1A" w:rsidRPr="006D7B23" w:rsidRDefault="00210C1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6D7B23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Liczba etatów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D49B8" w14:textId="77777777" w:rsidR="00210C1A" w:rsidRPr="003D43FD" w:rsidRDefault="00210C1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3D43FD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Liczba osób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1EFF6" w14:textId="77777777" w:rsidR="00210C1A" w:rsidRPr="003D43FD" w:rsidRDefault="00210C1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3D43FD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Liczba etatów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F7B38" w14:textId="77777777" w:rsidR="00210C1A" w:rsidRPr="003D43FD" w:rsidRDefault="00210C1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3D43FD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Liczba osób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6FECB" w14:textId="77777777" w:rsidR="00210C1A" w:rsidRPr="003D43FD" w:rsidRDefault="00210C1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3D43FD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Liczba etatów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9775A" w14:textId="77777777" w:rsidR="00210C1A" w:rsidRPr="003D43FD" w:rsidRDefault="00210C1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3D43FD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Liczba osób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4AE15" w14:textId="77777777" w:rsidR="00210C1A" w:rsidRPr="003D43FD" w:rsidRDefault="00210C1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3D43FD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Liczba etatów</w:t>
            </w:r>
          </w:p>
        </w:tc>
      </w:tr>
      <w:tr w:rsidR="00BC68A0" w:rsidRPr="001345B2" w14:paraId="79E61A50" w14:textId="77777777" w:rsidTr="00D368EA">
        <w:trPr>
          <w:trHeight w:val="282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F8EC8" w14:textId="77777777" w:rsidR="00210C1A" w:rsidRPr="006D7B23" w:rsidRDefault="00210C1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6D7B23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57888" w14:textId="77777777" w:rsidR="00210C1A" w:rsidRPr="006D7B23" w:rsidRDefault="00210C1A" w:rsidP="00210C1A">
            <w:pPr>
              <w:widowControl/>
              <w:suppressAutoHyphens w:val="0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6D7B23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Lekarze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DC622" w14:textId="1AEF5647" w:rsidR="00210C1A" w:rsidRPr="006D7B23" w:rsidRDefault="006D7B23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>
              <w:rPr>
                <w:rFonts w:ascii="Arial CE" w:eastAsia="Times New Roman" w:hAnsi="Arial CE" w:cs="Arial CE"/>
                <w:szCs w:val="22"/>
                <w:lang w:eastAsia="pl-PL"/>
              </w:rPr>
              <w:t>3</w:t>
            </w:r>
            <w:r w:rsidR="00326236">
              <w:rPr>
                <w:rFonts w:ascii="Arial CE" w:eastAsia="Times New Roman" w:hAnsi="Arial CE" w:cs="Arial CE"/>
                <w:szCs w:val="22"/>
                <w:lang w:eastAsia="pl-PL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6E031" w14:textId="24EF12EE" w:rsidR="00210C1A" w:rsidRPr="006D7B23" w:rsidRDefault="00762E8C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6D7B23">
              <w:rPr>
                <w:rFonts w:ascii="Arial CE" w:eastAsia="Times New Roman" w:hAnsi="Arial CE" w:cs="Arial CE"/>
                <w:szCs w:val="22"/>
                <w:lang w:eastAsia="pl-PL"/>
              </w:rPr>
              <w:t>1</w:t>
            </w:r>
            <w:r w:rsidR="006D7B23">
              <w:rPr>
                <w:rFonts w:ascii="Arial CE" w:eastAsia="Times New Roman" w:hAnsi="Arial CE" w:cs="Arial CE"/>
                <w:szCs w:val="22"/>
                <w:lang w:eastAsia="pl-PL"/>
              </w:rPr>
              <w:t>6,</w:t>
            </w:r>
            <w:r w:rsidR="00326236">
              <w:rPr>
                <w:rFonts w:ascii="Arial CE" w:eastAsia="Times New Roman" w:hAnsi="Arial CE" w:cs="Arial CE"/>
                <w:szCs w:val="22"/>
                <w:lang w:eastAsia="pl-PL"/>
              </w:rPr>
              <w:t>03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3897A" w14:textId="337F9207" w:rsidR="00210C1A" w:rsidRPr="003D43FD" w:rsidRDefault="00A80364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>
              <w:rPr>
                <w:rFonts w:ascii="Arial CE" w:eastAsia="Times New Roman" w:hAnsi="Arial CE" w:cs="Arial CE"/>
                <w:szCs w:val="22"/>
                <w:lang w:eastAsia="pl-PL"/>
              </w:rPr>
              <w:t>3</w:t>
            </w:r>
            <w:r w:rsidR="00326236">
              <w:rPr>
                <w:rFonts w:ascii="Arial CE" w:eastAsia="Times New Roman" w:hAnsi="Arial CE" w:cs="Arial CE"/>
                <w:szCs w:val="22"/>
                <w:lang w:eastAsia="pl-PL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DC059" w14:textId="5B8194AA" w:rsidR="00210C1A" w:rsidRPr="003D43FD" w:rsidRDefault="00AB5F4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3D43FD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1</w:t>
            </w:r>
            <w:r w:rsidR="00326236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5,65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8E48E" w14:textId="1BB2E898" w:rsidR="00210C1A" w:rsidRPr="003D43FD" w:rsidRDefault="007D7983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3D43FD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4</w:t>
            </w:r>
            <w:r w:rsidR="00326236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50DB3" w14:textId="2C258774" w:rsidR="00210C1A" w:rsidRPr="003D43FD" w:rsidRDefault="00D044E7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>
              <w:rPr>
                <w:rFonts w:ascii="Arial CE" w:eastAsia="Times New Roman" w:hAnsi="Arial CE" w:cs="Arial CE"/>
                <w:szCs w:val="22"/>
                <w:lang w:eastAsia="pl-PL"/>
              </w:rPr>
              <w:t>1</w:t>
            </w:r>
            <w:r w:rsidR="00326236">
              <w:rPr>
                <w:rFonts w:ascii="Arial CE" w:eastAsia="Times New Roman" w:hAnsi="Arial CE" w:cs="Arial CE"/>
                <w:szCs w:val="22"/>
                <w:lang w:eastAsia="pl-PL"/>
              </w:rPr>
              <w:t>8</w:t>
            </w:r>
            <w:r>
              <w:rPr>
                <w:rFonts w:ascii="Arial CE" w:eastAsia="Times New Roman" w:hAnsi="Arial CE" w:cs="Arial CE"/>
                <w:szCs w:val="22"/>
                <w:lang w:eastAsia="pl-PL"/>
              </w:rPr>
              <w:t>,81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B7E71" w14:textId="058585BA" w:rsidR="00210C1A" w:rsidRPr="003D43FD" w:rsidRDefault="007D7983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3D43FD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4</w:t>
            </w:r>
            <w:r w:rsidR="00326236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E9CE8" w14:textId="12E27996" w:rsidR="00210C1A" w:rsidRPr="003D43FD" w:rsidRDefault="00326236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>
              <w:rPr>
                <w:rFonts w:ascii="Arial CE" w:eastAsia="Times New Roman" w:hAnsi="Arial CE" w:cs="Arial CE"/>
                <w:szCs w:val="22"/>
                <w:lang w:eastAsia="pl-PL"/>
              </w:rPr>
              <w:t>19,5</w:t>
            </w:r>
          </w:p>
        </w:tc>
      </w:tr>
      <w:tr w:rsidR="00BC68A0" w:rsidRPr="001345B2" w14:paraId="638680FE" w14:textId="77777777" w:rsidTr="00D368EA">
        <w:trPr>
          <w:trHeight w:val="282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C6B73" w14:textId="77777777" w:rsidR="00210C1A" w:rsidRPr="006D7B23" w:rsidRDefault="00210C1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6D7B23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2D30D" w14:textId="77777777" w:rsidR="00210C1A" w:rsidRPr="006D7B23" w:rsidRDefault="00210C1A" w:rsidP="00210C1A">
            <w:pPr>
              <w:widowControl/>
              <w:suppressAutoHyphens w:val="0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6D7B23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Lekarze stomatolodzy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75D01" w14:textId="77777777" w:rsidR="00210C1A" w:rsidRPr="006D7B23" w:rsidRDefault="00210C1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6D7B23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7F3EA" w14:textId="77777777" w:rsidR="00210C1A" w:rsidRPr="006D7B23" w:rsidRDefault="00210C1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6D7B23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517ED" w14:textId="77777777" w:rsidR="00210C1A" w:rsidRPr="003D43FD" w:rsidRDefault="00210C1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3D43FD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39041" w14:textId="77777777" w:rsidR="00210C1A" w:rsidRPr="003D43FD" w:rsidRDefault="00210C1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3D43FD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1C715" w14:textId="77777777" w:rsidR="00210C1A" w:rsidRPr="003D43FD" w:rsidRDefault="00210C1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3D43FD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F56AE" w14:textId="77777777" w:rsidR="00210C1A" w:rsidRPr="003D43FD" w:rsidRDefault="00210C1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3D43FD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D3A30" w14:textId="77777777" w:rsidR="00210C1A" w:rsidRPr="003D43FD" w:rsidRDefault="00210C1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3D43FD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E0946" w14:textId="77777777" w:rsidR="00210C1A" w:rsidRPr="003D43FD" w:rsidRDefault="00210C1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3D43FD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-</w:t>
            </w:r>
          </w:p>
        </w:tc>
      </w:tr>
      <w:tr w:rsidR="00BC68A0" w:rsidRPr="001345B2" w14:paraId="6043B691" w14:textId="77777777" w:rsidTr="00D368EA">
        <w:trPr>
          <w:trHeight w:val="282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F83D0" w14:textId="77777777" w:rsidR="00210C1A" w:rsidRPr="006D7B23" w:rsidRDefault="00210C1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6D7B23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09FDA" w14:textId="77777777" w:rsidR="00210C1A" w:rsidRPr="006D7B23" w:rsidRDefault="00210C1A" w:rsidP="00210C1A">
            <w:pPr>
              <w:widowControl/>
              <w:suppressAutoHyphens w:val="0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6D7B23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Farmaceuci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12724" w14:textId="77777777" w:rsidR="00210C1A" w:rsidRPr="006D7B23" w:rsidRDefault="00210C1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6D7B23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76BB8" w14:textId="77777777" w:rsidR="00210C1A" w:rsidRPr="006D7B23" w:rsidRDefault="00210C1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6D7B23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C3954" w14:textId="77777777" w:rsidR="00210C1A" w:rsidRPr="003D43FD" w:rsidRDefault="00210C1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3D43FD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009EE" w14:textId="77777777" w:rsidR="00210C1A" w:rsidRPr="003D43FD" w:rsidRDefault="00210C1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3D43FD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9D511" w14:textId="77777777" w:rsidR="00210C1A" w:rsidRPr="003D43FD" w:rsidRDefault="00210C1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3D43FD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FAC58" w14:textId="77777777" w:rsidR="00210C1A" w:rsidRPr="003D43FD" w:rsidRDefault="00210C1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3D43FD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36429" w14:textId="77777777" w:rsidR="00210C1A" w:rsidRPr="003D43FD" w:rsidRDefault="00210C1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3D43FD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681F1" w14:textId="77777777" w:rsidR="00210C1A" w:rsidRPr="003D43FD" w:rsidRDefault="00210C1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3D43FD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-</w:t>
            </w:r>
          </w:p>
        </w:tc>
      </w:tr>
      <w:tr w:rsidR="00BC68A0" w:rsidRPr="001345B2" w14:paraId="7695F6BE" w14:textId="77777777" w:rsidTr="00D368EA">
        <w:trPr>
          <w:trHeight w:val="282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FC579" w14:textId="77777777" w:rsidR="00210C1A" w:rsidRPr="006D7B23" w:rsidRDefault="00210C1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6D7B23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782E7" w14:textId="77777777" w:rsidR="00210C1A" w:rsidRPr="006D7B23" w:rsidRDefault="00210C1A" w:rsidP="00210C1A">
            <w:pPr>
              <w:widowControl/>
              <w:suppressAutoHyphens w:val="0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6D7B23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Inny z wykształceniem wyższym medycznym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5D0DA" w14:textId="182DCCC0" w:rsidR="00210C1A" w:rsidRPr="006D7B23" w:rsidRDefault="006D7B23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>
              <w:rPr>
                <w:rFonts w:ascii="Arial CE" w:eastAsia="Times New Roman" w:hAnsi="Arial CE" w:cs="Arial CE"/>
                <w:szCs w:val="22"/>
                <w:lang w:eastAsia="pl-PL"/>
              </w:rPr>
              <w:t>2</w:t>
            </w:r>
            <w:r w:rsidR="00326236">
              <w:rPr>
                <w:rFonts w:ascii="Arial CE" w:eastAsia="Times New Roman" w:hAnsi="Arial CE" w:cs="Arial CE"/>
                <w:szCs w:val="22"/>
                <w:lang w:eastAsia="pl-PL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A1BA1" w14:textId="2C12726E" w:rsidR="00210C1A" w:rsidRPr="006D7B23" w:rsidRDefault="00210C1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6D7B23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1</w:t>
            </w:r>
            <w:r w:rsidR="00326236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8,26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2C08F" w14:textId="155EF56D" w:rsidR="00210C1A" w:rsidRPr="003D43FD" w:rsidRDefault="003D43FD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>
              <w:rPr>
                <w:rFonts w:ascii="Arial CE" w:eastAsia="Times New Roman" w:hAnsi="Arial CE" w:cs="Arial CE"/>
                <w:szCs w:val="22"/>
                <w:lang w:eastAsia="pl-PL"/>
              </w:rPr>
              <w:t>2</w:t>
            </w:r>
            <w:r w:rsidR="00326236">
              <w:rPr>
                <w:rFonts w:ascii="Arial CE" w:eastAsia="Times New Roman" w:hAnsi="Arial CE" w:cs="Arial CE"/>
                <w:szCs w:val="22"/>
                <w:lang w:eastAsia="pl-PL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21C52" w14:textId="5A666CB7" w:rsidR="00210C1A" w:rsidRPr="003D43FD" w:rsidRDefault="003D43FD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>
              <w:rPr>
                <w:rFonts w:ascii="Arial CE" w:eastAsia="Times New Roman" w:hAnsi="Arial CE" w:cs="Arial CE"/>
                <w:szCs w:val="22"/>
                <w:lang w:eastAsia="pl-PL"/>
              </w:rPr>
              <w:t>1</w:t>
            </w:r>
            <w:r w:rsidR="00326236">
              <w:rPr>
                <w:rFonts w:ascii="Arial CE" w:eastAsia="Times New Roman" w:hAnsi="Arial CE" w:cs="Arial CE"/>
                <w:szCs w:val="22"/>
                <w:lang w:eastAsia="pl-PL"/>
              </w:rPr>
              <w:t>9,35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53EB2" w14:textId="213C5ED5" w:rsidR="00210C1A" w:rsidRPr="003D43FD" w:rsidRDefault="003D43FD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>
              <w:rPr>
                <w:rFonts w:ascii="Arial CE" w:eastAsia="Times New Roman" w:hAnsi="Arial CE" w:cs="Arial CE"/>
                <w:szCs w:val="22"/>
                <w:lang w:eastAsia="pl-PL"/>
              </w:rPr>
              <w:t>2</w:t>
            </w:r>
            <w:r w:rsidR="00326236">
              <w:rPr>
                <w:rFonts w:ascii="Arial CE" w:eastAsia="Times New Roman" w:hAnsi="Arial CE" w:cs="Arial CE"/>
                <w:szCs w:val="22"/>
                <w:lang w:eastAsia="pl-PL"/>
              </w:rPr>
              <w:t>9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30263" w14:textId="37D4A286" w:rsidR="00210C1A" w:rsidRPr="003D43FD" w:rsidRDefault="00326236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>
              <w:rPr>
                <w:rFonts w:ascii="Arial CE" w:eastAsia="Times New Roman" w:hAnsi="Arial CE" w:cs="Arial CE"/>
                <w:szCs w:val="22"/>
                <w:lang w:eastAsia="pl-PL"/>
              </w:rPr>
              <w:t>20,35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F73FE" w14:textId="05D66C13" w:rsidR="00210C1A" w:rsidRPr="003D43FD" w:rsidRDefault="00D368E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>
              <w:rPr>
                <w:rFonts w:ascii="Arial CE" w:eastAsia="Times New Roman" w:hAnsi="Arial CE" w:cs="Arial CE"/>
                <w:szCs w:val="22"/>
                <w:lang w:eastAsia="pl-PL"/>
              </w:rPr>
              <w:t>2</w:t>
            </w:r>
            <w:r w:rsidR="00326236">
              <w:rPr>
                <w:rFonts w:ascii="Arial CE" w:eastAsia="Times New Roman" w:hAnsi="Arial CE" w:cs="Arial CE"/>
                <w:szCs w:val="22"/>
                <w:lang w:eastAsia="pl-PL"/>
              </w:rPr>
              <w:t>9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1C3EB" w14:textId="4A44CA88" w:rsidR="00210C1A" w:rsidRPr="003D43FD" w:rsidRDefault="00326236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>
              <w:rPr>
                <w:rFonts w:ascii="Arial CE" w:eastAsia="Times New Roman" w:hAnsi="Arial CE" w:cs="Arial CE"/>
                <w:szCs w:val="22"/>
                <w:lang w:eastAsia="pl-PL"/>
              </w:rPr>
              <w:t>20,35</w:t>
            </w:r>
          </w:p>
        </w:tc>
      </w:tr>
      <w:tr w:rsidR="00BC68A0" w:rsidRPr="001345B2" w14:paraId="3923DDA5" w14:textId="77777777" w:rsidTr="00D368EA">
        <w:trPr>
          <w:trHeight w:val="282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7D832" w14:textId="77777777" w:rsidR="00210C1A" w:rsidRPr="006D7B23" w:rsidRDefault="00210C1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6D7B23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DFC0F" w14:textId="77777777" w:rsidR="00210C1A" w:rsidRPr="006D7B23" w:rsidRDefault="00210C1A" w:rsidP="00210C1A">
            <w:pPr>
              <w:widowControl/>
              <w:suppressAutoHyphens w:val="0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6D7B23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 xml:space="preserve">Pielęgniarki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BBC11" w14:textId="7F31C5BA" w:rsidR="00210C1A" w:rsidRPr="006D7B23" w:rsidRDefault="00326236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>
              <w:rPr>
                <w:rFonts w:ascii="Arial CE" w:eastAsia="Times New Roman" w:hAnsi="Arial CE" w:cs="Arial CE"/>
                <w:szCs w:val="22"/>
                <w:lang w:eastAsia="pl-PL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AB250" w14:textId="69FE944E" w:rsidR="00210C1A" w:rsidRPr="006D7B23" w:rsidRDefault="00326236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>
              <w:rPr>
                <w:rFonts w:ascii="Arial CE" w:eastAsia="Times New Roman" w:hAnsi="Arial CE" w:cs="Arial CE"/>
                <w:szCs w:val="22"/>
                <w:lang w:eastAsia="pl-PL"/>
              </w:rPr>
              <w:t>7,8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7949C" w14:textId="469E4018" w:rsidR="00210C1A" w:rsidRPr="003D43FD" w:rsidRDefault="00A80364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>
              <w:rPr>
                <w:rFonts w:ascii="Arial CE" w:eastAsia="Times New Roman" w:hAnsi="Arial CE" w:cs="Arial CE"/>
                <w:szCs w:val="22"/>
                <w:lang w:eastAsia="pl-PL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CEDB9" w14:textId="78DC4533" w:rsidR="00210C1A" w:rsidRPr="003D43FD" w:rsidRDefault="00A80364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>
              <w:rPr>
                <w:rFonts w:ascii="Arial CE" w:eastAsia="Times New Roman" w:hAnsi="Arial CE" w:cs="Arial CE"/>
                <w:szCs w:val="22"/>
                <w:lang w:eastAsia="pl-PL"/>
              </w:rPr>
              <w:t>7,8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8D63C" w14:textId="1EDF06D7" w:rsidR="00210C1A" w:rsidRPr="003D43FD" w:rsidRDefault="00010CE6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>
              <w:rPr>
                <w:rFonts w:ascii="Arial CE" w:eastAsia="Times New Roman" w:hAnsi="Arial CE" w:cs="Arial CE"/>
                <w:szCs w:val="22"/>
                <w:lang w:eastAsia="pl-PL"/>
              </w:rPr>
              <w:t>9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F715E" w14:textId="00C6F56B" w:rsidR="00210C1A" w:rsidRPr="003D43FD" w:rsidRDefault="00010CE6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>
              <w:rPr>
                <w:rFonts w:ascii="Arial CE" w:eastAsia="Times New Roman" w:hAnsi="Arial CE" w:cs="Arial CE"/>
                <w:szCs w:val="22"/>
                <w:lang w:eastAsia="pl-PL"/>
              </w:rPr>
              <w:t>8,8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D1E7B" w14:textId="6C26D2FC" w:rsidR="00210C1A" w:rsidRPr="003D43FD" w:rsidRDefault="00010CE6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>
              <w:rPr>
                <w:rFonts w:ascii="Arial CE" w:eastAsia="Times New Roman" w:hAnsi="Arial CE" w:cs="Arial CE"/>
                <w:szCs w:val="22"/>
                <w:lang w:eastAsia="pl-PL"/>
              </w:rPr>
              <w:t>9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72DC6" w14:textId="6B4359B8" w:rsidR="00210C1A" w:rsidRPr="003D43FD" w:rsidRDefault="00010CE6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>
              <w:rPr>
                <w:rFonts w:ascii="Arial CE" w:eastAsia="Times New Roman" w:hAnsi="Arial CE" w:cs="Arial CE"/>
                <w:szCs w:val="22"/>
                <w:lang w:eastAsia="pl-PL"/>
              </w:rPr>
              <w:t>8,8</w:t>
            </w:r>
          </w:p>
        </w:tc>
      </w:tr>
      <w:tr w:rsidR="00BC68A0" w:rsidRPr="001345B2" w14:paraId="1F44DC88" w14:textId="77777777" w:rsidTr="00D368EA">
        <w:trPr>
          <w:trHeight w:val="282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ADF2E" w14:textId="77777777" w:rsidR="00210C1A" w:rsidRPr="006D7B23" w:rsidRDefault="00210C1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6D7B23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0B231" w14:textId="77777777" w:rsidR="00210C1A" w:rsidRPr="006D7B23" w:rsidRDefault="00210C1A" w:rsidP="00210C1A">
            <w:pPr>
              <w:widowControl/>
              <w:suppressAutoHyphens w:val="0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6D7B23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Położne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0CA69" w14:textId="5AB82293" w:rsidR="00210C1A" w:rsidRPr="006D7B23" w:rsidRDefault="006D7B23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>
              <w:rPr>
                <w:rFonts w:ascii="Arial CE" w:eastAsia="Times New Roman" w:hAnsi="Arial CE" w:cs="Arial CE"/>
                <w:szCs w:val="22"/>
                <w:lang w:eastAsia="pl-PL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1D200" w14:textId="30BA29D5" w:rsidR="00210C1A" w:rsidRPr="006D7B23" w:rsidRDefault="006D7B23" w:rsidP="006D7B23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>
              <w:rPr>
                <w:rFonts w:ascii="Arial CE" w:eastAsia="Times New Roman" w:hAnsi="Arial CE" w:cs="Arial CE"/>
                <w:szCs w:val="22"/>
                <w:lang w:eastAsia="pl-PL"/>
              </w:rPr>
              <w:t>0</w:t>
            </w:r>
            <w:r w:rsidR="00583878" w:rsidRPr="006D7B23">
              <w:rPr>
                <w:rFonts w:ascii="Arial CE" w:eastAsia="Times New Roman" w:hAnsi="Arial CE" w:cs="Arial CE"/>
                <w:szCs w:val="22"/>
                <w:lang w:eastAsia="pl-PL"/>
              </w:rPr>
              <w:t>,75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1F1C9" w14:textId="01C6AE8B" w:rsidR="00210C1A" w:rsidRPr="003D43FD" w:rsidRDefault="00A80364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>
              <w:rPr>
                <w:rFonts w:ascii="Arial CE" w:eastAsia="Times New Roman" w:hAnsi="Arial CE" w:cs="Arial CE"/>
                <w:szCs w:val="22"/>
                <w:lang w:eastAsia="pl-PL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5972A" w14:textId="5DD785F4" w:rsidR="00210C1A" w:rsidRPr="003D43FD" w:rsidRDefault="00A80364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>
              <w:rPr>
                <w:rFonts w:ascii="Arial CE" w:eastAsia="Times New Roman" w:hAnsi="Arial CE" w:cs="Arial CE"/>
                <w:szCs w:val="22"/>
                <w:lang w:eastAsia="pl-PL"/>
              </w:rPr>
              <w:t>0,75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51CB9" w14:textId="02CBEE09" w:rsidR="00210C1A" w:rsidRPr="003D43FD" w:rsidRDefault="00010CE6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>
              <w:rPr>
                <w:rFonts w:ascii="Arial CE" w:eastAsia="Times New Roman" w:hAnsi="Arial CE" w:cs="Arial CE"/>
                <w:szCs w:val="22"/>
                <w:lang w:eastAsia="pl-PL"/>
              </w:rPr>
              <w:t>1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B9F5B" w14:textId="56D736F5" w:rsidR="00210C1A" w:rsidRPr="003D43FD" w:rsidRDefault="00010CE6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>
              <w:rPr>
                <w:rFonts w:ascii="Arial CE" w:eastAsia="Times New Roman" w:hAnsi="Arial CE" w:cs="Arial CE"/>
                <w:szCs w:val="22"/>
                <w:lang w:eastAsia="pl-PL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D17BC" w14:textId="442BB1DD" w:rsidR="00210C1A" w:rsidRPr="003D43FD" w:rsidRDefault="00010CE6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>
              <w:rPr>
                <w:rFonts w:ascii="Arial CE" w:eastAsia="Times New Roman" w:hAnsi="Arial CE" w:cs="Arial CE"/>
                <w:szCs w:val="22"/>
                <w:lang w:eastAsia="pl-PL"/>
              </w:rPr>
              <w:t>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4718C" w14:textId="5317AA01" w:rsidR="00210C1A" w:rsidRPr="003D43FD" w:rsidRDefault="00010CE6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>
              <w:rPr>
                <w:rFonts w:ascii="Arial CE" w:eastAsia="Times New Roman" w:hAnsi="Arial CE" w:cs="Arial CE"/>
                <w:szCs w:val="22"/>
                <w:lang w:eastAsia="pl-PL"/>
              </w:rPr>
              <w:t>1</w:t>
            </w:r>
          </w:p>
        </w:tc>
      </w:tr>
      <w:tr w:rsidR="00BC68A0" w:rsidRPr="001345B2" w14:paraId="427F0D21" w14:textId="77777777" w:rsidTr="00D368EA">
        <w:trPr>
          <w:trHeight w:val="282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D0AA0" w14:textId="77777777" w:rsidR="00210C1A" w:rsidRPr="006D7B23" w:rsidRDefault="00210C1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6D7B23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D5EF5" w14:textId="77777777" w:rsidR="00210C1A" w:rsidRPr="006D7B23" w:rsidRDefault="00210C1A" w:rsidP="00210C1A">
            <w:pPr>
              <w:widowControl/>
              <w:suppressAutoHyphens w:val="0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6D7B23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Technicy medyczni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0DE1B" w14:textId="27BA39E1" w:rsidR="00210C1A" w:rsidRPr="006D7B23" w:rsidRDefault="00210C1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6D7B23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1</w:t>
            </w:r>
            <w:r w:rsidR="00A80364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58A5F" w14:textId="26A031D5" w:rsidR="00210C1A" w:rsidRPr="006D7B23" w:rsidRDefault="00210C1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6D7B23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1</w:t>
            </w:r>
            <w:r w:rsidR="00326236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0,9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A532D" w14:textId="5C39612F" w:rsidR="00210C1A" w:rsidRPr="003D43FD" w:rsidRDefault="00210C1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3D43FD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1</w:t>
            </w:r>
            <w:r w:rsidR="00A80364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5B824" w14:textId="2BD1F422" w:rsidR="00210C1A" w:rsidRPr="003D43FD" w:rsidRDefault="00AB5F4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3D43FD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1</w:t>
            </w:r>
            <w:r w:rsidR="00326236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0,9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63243" w14:textId="361AA6F9" w:rsidR="00210C1A" w:rsidRPr="003D43FD" w:rsidRDefault="007D7983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3D43FD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1</w:t>
            </w:r>
            <w:r w:rsidR="00010CE6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337D7" w14:textId="616C00A3" w:rsidR="00210C1A" w:rsidRPr="003D43FD" w:rsidRDefault="007D7983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3D43FD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1</w:t>
            </w:r>
            <w:r w:rsidR="00010CE6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2048E" w14:textId="23E615EE" w:rsidR="00210C1A" w:rsidRPr="003D43FD" w:rsidRDefault="007D7983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3D43FD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1</w:t>
            </w:r>
            <w:r w:rsidR="00010CE6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58011" w14:textId="4FB8EFE6" w:rsidR="00210C1A" w:rsidRPr="003D43FD" w:rsidRDefault="007D7983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3D43FD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1</w:t>
            </w:r>
            <w:r w:rsidR="00D4034B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2</w:t>
            </w:r>
          </w:p>
        </w:tc>
      </w:tr>
      <w:tr w:rsidR="00BC68A0" w:rsidRPr="001345B2" w14:paraId="2249C68D" w14:textId="77777777" w:rsidTr="00D368EA">
        <w:trPr>
          <w:trHeight w:val="282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775B2" w14:textId="77777777" w:rsidR="00210C1A" w:rsidRPr="006D7B23" w:rsidRDefault="00210C1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6D7B23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AE4D0" w14:textId="77777777" w:rsidR="00210C1A" w:rsidRPr="006D7B23" w:rsidRDefault="00210C1A" w:rsidP="00210C1A">
            <w:pPr>
              <w:widowControl/>
              <w:suppressAutoHyphens w:val="0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6D7B23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Personel średni medyczny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8CD6A" w14:textId="77777777" w:rsidR="00210C1A" w:rsidRPr="006D7B23" w:rsidRDefault="00210C1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6D7B23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D2AC9" w14:textId="77777777" w:rsidR="00210C1A" w:rsidRPr="006D7B23" w:rsidRDefault="00210C1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6D7B23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F1B3E" w14:textId="77777777" w:rsidR="00210C1A" w:rsidRPr="003D43FD" w:rsidRDefault="00210C1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3D43FD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4D22C" w14:textId="77777777" w:rsidR="00210C1A" w:rsidRPr="003D43FD" w:rsidRDefault="00210C1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3D43FD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FA1C0" w14:textId="77777777" w:rsidR="00210C1A" w:rsidRPr="003D43FD" w:rsidRDefault="00762E8C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3D43FD">
              <w:rPr>
                <w:rFonts w:ascii="Arial CE" w:eastAsia="Times New Roman" w:hAnsi="Arial CE" w:cs="Arial CE"/>
                <w:szCs w:val="22"/>
                <w:lang w:eastAsia="pl-PL"/>
              </w:rPr>
              <w:t>-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D0C54" w14:textId="77777777" w:rsidR="00210C1A" w:rsidRPr="003D43FD" w:rsidRDefault="00762E8C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3D43FD">
              <w:rPr>
                <w:rFonts w:ascii="Arial CE" w:eastAsia="Times New Roman" w:hAnsi="Arial CE" w:cs="Arial CE"/>
                <w:szCs w:val="22"/>
                <w:lang w:eastAsia="pl-PL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EDA96" w14:textId="77777777" w:rsidR="00210C1A" w:rsidRPr="003D43FD" w:rsidRDefault="00762E8C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3D43FD">
              <w:rPr>
                <w:rFonts w:ascii="Arial CE" w:eastAsia="Times New Roman" w:hAnsi="Arial CE" w:cs="Arial CE"/>
                <w:szCs w:val="22"/>
                <w:lang w:eastAsia="pl-PL"/>
              </w:rPr>
              <w:t>-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4B829" w14:textId="77777777" w:rsidR="00210C1A" w:rsidRPr="003D43FD" w:rsidRDefault="00762E8C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3D43FD">
              <w:rPr>
                <w:rFonts w:ascii="Arial CE" w:eastAsia="Times New Roman" w:hAnsi="Arial CE" w:cs="Arial CE"/>
                <w:szCs w:val="22"/>
                <w:lang w:eastAsia="pl-PL"/>
              </w:rPr>
              <w:t>-</w:t>
            </w:r>
          </w:p>
        </w:tc>
      </w:tr>
      <w:tr w:rsidR="00BC68A0" w:rsidRPr="001345B2" w14:paraId="313CD363" w14:textId="77777777" w:rsidTr="00D368EA">
        <w:trPr>
          <w:trHeight w:val="282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2D7E8" w14:textId="77777777" w:rsidR="00210C1A" w:rsidRPr="006D7B23" w:rsidRDefault="00210C1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6D7B23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19A1A" w14:textId="77777777" w:rsidR="00210C1A" w:rsidRPr="006D7B23" w:rsidRDefault="00210C1A" w:rsidP="00210C1A">
            <w:pPr>
              <w:widowControl/>
              <w:suppressAutoHyphens w:val="0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6D7B23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Personel niższy medyczny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1A17A" w14:textId="3B5483E4" w:rsidR="00210C1A" w:rsidRPr="006D7B23" w:rsidRDefault="00AB5F4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6D7B23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1</w:t>
            </w:r>
            <w:r w:rsidR="00A80364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CA17C" w14:textId="5D7FD155" w:rsidR="00210C1A" w:rsidRPr="006D7B23" w:rsidRDefault="00583878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6D7B23">
              <w:rPr>
                <w:rFonts w:ascii="Arial CE" w:eastAsia="Times New Roman" w:hAnsi="Arial CE" w:cs="Arial CE"/>
                <w:szCs w:val="22"/>
                <w:lang w:eastAsia="pl-PL"/>
              </w:rPr>
              <w:t>1</w:t>
            </w:r>
            <w:r w:rsidR="00A80364">
              <w:rPr>
                <w:rFonts w:ascii="Arial CE" w:eastAsia="Times New Roman" w:hAnsi="Arial CE" w:cs="Arial CE"/>
                <w:szCs w:val="22"/>
                <w:lang w:eastAsia="pl-PL"/>
              </w:rPr>
              <w:t>2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BD58E" w14:textId="0CEC9C39" w:rsidR="00210C1A" w:rsidRPr="003D43FD" w:rsidRDefault="00AB5F4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3D43FD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1</w:t>
            </w:r>
            <w:r w:rsidR="00326236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C9BAD" w14:textId="5495605B" w:rsidR="00210C1A" w:rsidRPr="003D43FD" w:rsidRDefault="00583878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3D43FD">
              <w:rPr>
                <w:rFonts w:ascii="Arial CE" w:eastAsia="Times New Roman" w:hAnsi="Arial CE" w:cs="Arial CE"/>
                <w:szCs w:val="22"/>
                <w:lang w:eastAsia="pl-PL"/>
              </w:rPr>
              <w:t>1</w:t>
            </w:r>
            <w:r w:rsidR="00326236">
              <w:rPr>
                <w:rFonts w:ascii="Arial CE" w:eastAsia="Times New Roman" w:hAnsi="Arial CE" w:cs="Arial CE"/>
                <w:szCs w:val="22"/>
                <w:lang w:eastAsia="pl-PL"/>
              </w:rPr>
              <w:t>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D15B1" w14:textId="77777777" w:rsidR="00210C1A" w:rsidRPr="003D43FD" w:rsidRDefault="00AB5F4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3D43FD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1</w:t>
            </w:r>
            <w:r w:rsidR="00762E8C" w:rsidRPr="003D43FD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5D29D" w14:textId="125942ED" w:rsidR="00210C1A" w:rsidRPr="003D43FD" w:rsidRDefault="00D368E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D840F" w14:textId="77777777" w:rsidR="00210C1A" w:rsidRPr="003D43FD" w:rsidRDefault="00AB5F4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3D43FD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1</w:t>
            </w:r>
            <w:r w:rsidR="00762E8C" w:rsidRPr="003D43FD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02809" w14:textId="539985AD" w:rsidR="00210C1A" w:rsidRPr="003D43FD" w:rsidRDefault="00D368E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13</w:t>
            </w:r>
          </w:p>
        </w:tc>
      </w:tr>
      <w:tr w:rsidR="00BC68A0" w:rsidRPr="001345B2" w14:paraId="51CC24F0" w14:textId="77777777" w:rsidTr="00D368EA">
        <w:trPr>
          <w:trHeight w:val="282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64905" w14:textId="77777777" w:rsidR="00210C1A" w:rsidRPr="006D7B23" w:rsidRDefault="00210C1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6D7B23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C064F" w14:textId="77777777" w:rsidR="00210C1A" w:rsidRPr="006D7B23" w:rsidRDefault="00210C1A" w:rsidP="00210C1A">
            <w:pPr>
              <w:widowControl/>
              <w:suppressAutoHyphens w:val="0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6D7B23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Personel administracyjny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AAEBB" w14:textId="6DCA8E9C" w:rsidR="00210C1A" w:rsidRPr="006D7B23" w:rsidRDefault="00210C1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6D7B23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1</w:t>
            </w:r>
            <w:r w:rsidR="00326236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E3851" w14:textId="0DD848E2" w:rsidR="00210C1A" w:rsidRPr="006D7B23" w:rsidRDefault="00210C1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6D7B23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1</w:t>
            </w:r>
            <w:r w:rsidR="00326236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5</w:t>
            </w:r>
            <w:r w:rsidR="00D368EA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,10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342FB" w14:textId="1750A1C7" w:rsidR="00210C1A" w:rsidRPr="003D43FD" w:rsidRDefault="00210C1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3D43FD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1</w:t>
            </w:r>
            <w:r w:rsidR="00A80364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D82EE" w14:textId="19471CD2" w:rsidR="00210C1A" w:rsidRPr="003D43FD" w:rsidRDefault="00326236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>
              <w:rPr>
                <w:rFonts w:ascii="Arial CE" w:eastAsia="Times New Roman" w:hAnsi="Arial CE" w:cs="Arial CE"/>
                <w:szCs w:val="22"/>
                <w:lang w:eastAsia="pl-PL"/>
              </w:rPr>
              <w:t>15,04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4C618" w14:textId="4B14BA70" w:rsidR="00210C1A" w:rsidRPr="003D43FD" w:rsidRDefault="007D7983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3D43FD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1</w:t>
            </w:r>
            <w:r w:rsidR="00010CE6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05432" w14:textId="4F64685D" w:rsidR="00210C1A" w:rsidRPr="003D43FD" w:rsidRDefault="00AB5F4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3D43FD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1</w:t>
            </w:r>
            <w:r w:rsidR="00010CE6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5</w:t>
            </w:r>
            <w:r w:rsidR="004D59A3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,</w:t>
            </w:r>
            <w:r w:rsidR="00326236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AD4F6" w14:textId="63981943" w:rsidR="00210C1A" w:rsidRPr="003D43FD" w:rsidRDefault="007D7983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3D43FD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1</w:t>
            </w:r>
            <w:r w:rsidR="00010CE6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8B032" w14:textId="72BCFE49" w:rsidR="00210C1A" w:rsidRPr="003D43FD" w:rsidRDefault="00434F7C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3D43FD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1</w:t>
            </w:r>
            <w:r w:rsidR="00326236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5,04</w:t>
            </w:r>
          </w:p>
        </w:tc>
      </w:tr>
      <w:tr w:rsidR="00BC68A0" w:rsidRPr="001345B2" w14:paraId="6F1E6D61" w14:textId="77777777" w:rsidTr="00D368EA">
        <w:trPr>
          <w:trHeight w:val="282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1DC90" w14:textId="77777777" w:rsidR="00210C1A" w:rsidRPr="006D7B23" w:rsidRDefault="00210C1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6D7B23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73DD5" w14:textId="77777777" w:rsidR="00210C1A" w:rsidRPr="006D7B23" w:rsidRDefault="00210C1A" w:rsidP="00210C1A">
            <w:pPr>
              <w:widowControl/>
              <w:suppressAutoHyphens w:val="0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6D7B23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Personel gospodarczy i obsługi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BCCB9" w14:textId="444C95CB" w:rsidR="00210C1A" w:rsidRPr="006D7B23" w:rsidRDefault="00583878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6D7B23">
              <w:rPr>
                <w:rFonts w:ascii="Arial CE" w:eastAsia="Times New Roman" w:hAnsi="Arial CE" w:cs="Arial CE"/>
                <w:szCs w:val="22"/>
                <w:lang w:eastAsia="pl-PL"/>
              </w:rPr>
              <w:t>1</w:t>
            </w:r>
            <w:r w:rsidR="00D368EA">
              <w:rPr>
                <w:rFonts w:ascii="Arial CE" w:eastAsia="Times New Roman" w:hAnsi="Arial CE" w:cs="Arial CE"/>
                <w:szCs w:val="22"/>
                <w:lang w:eastAsia="pl-PL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9C5D4" w14:textId="70C9CCE2" w:rsidR="00210C1A" w:rsidRPr="006D7B23" w:rsidRDefault="00D368E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8</w:t>
            </w:r>
            <w:r w:rsidR="00642504" w:rsidRPr="006D7B23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,20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709B7" w14:textId="0A8C368D" w:rsidR="00210C1A" w:rsidRPr="003D43FD" w:rsidRDefault="00762E8C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3D43FD">
              <w:rPr>
                <w:rFonts w:ascii="Arial CE" w:eastAsia="Times New Roman" w:hAnsi="Arial CE" w:cs="Arial CE"/>
                <w:szCs w:val="22"/>
                <w:lang w:eastAsia="pl-PL"/>
              </w:rPr>
              <w:t>1</w:t>
            </w:r>
            <w:r w:rsidR="004D59A3">
              <w:rPr>
                <w:rFonts w:ascii="Arial CE" w:eastAsia="Times New Roman" w:hAnsi="Arial CE" w:cs="Arial CE"/>
                <w:szCs w:val="22"/>
                <w:lang w:eastAsia="pl-PL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C980E" w14:textId="12EF226B" w:rsidR="00210C1A" w:rsidRPr="003D43FD" w:rsidRDefault="004D59A3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8</w:t>
            </w:r>
            <w:r w:rsidR="00210C1A" w:rsidRPr="003D43FD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,2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2448E" w14:textId="7F0F145B" w:rsidR="00210C1A" w:rsidRPr="003D43FD" w:rsidRDefault="00583878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3D43FD">
              <w:rPr>
                <w:rFonts w:ascii="Arial CE" w:eastAsia="Times New Roman" w:hAnsi="Arial CE" w:cs="Arial CE"/>
                <w:szCs w:val="22"/>
                <w:lang w:eastAsia="pl-PL"/>
              </w:rPr>
              <w:t>1</w:t>
            </w:r>
            <w:r w:rsidR="004D59A3">
              <w:rPr>
                <w:rFonts w:ascii="Arial CE" w:eastAsia="Times New Roman" w:hAnsi="Arial CE" w:cs="Arial CE"/>
                <w:szCs w:val="22"/>
                <w:lang w:eastAsia="pl-PL"/>
              </w:rPr>
              <w:t>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CAB8A" w14:textId="0AFBC458" w:rsidR="00210C1A" w:rsidRPr="003D43FD" w:rsidRDefault="004D59A3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8,</w:t>
            </w:r>
            <w:r w:rsidR="007D7983" w:rsidRPr="003D43FD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DB091" w14:textId="094FE2CB" w:rsidR="00210C1A" w:rsidRPr="003D43FD" w:rsidRDefault="00583878" w:rsidP="00583878">
            <w:pPr>
              <w:widowControl/>
              <w:suppressAutoHyphens w:val="0"/>
              <w:rPr>
                <w:rFonts w:ascii="Arial CE" w:eastAsia="Times New Roman" w:hAnsi="Arial CE" w:cs="Arial CE"/>
                <w:szCs w:val="22"/>
                <w:lang w:eastAsia="pl-PL"/>
              </w:rPr>
            </w:pPr>
            <w:r w:rsidRPr="003D43FD">
              <w:rPr>
                <w:rFonts w:ascii="Arial CE" w:eastAsia="Times New Roman" w:hAnsi="Arial CE" w:cs="Arial CE"/>
                <w:szCs w:val="22"/>
                <w:lang w:eastAsia="pl-PL"/>
              </w:rPr>
              <w:t xml:space="preserve">   1</w:t>
            </w:r>
            <w:r w:rsidR="004D59A3">
              <w:rPr>
                <w:rFonts w:ascii="Arial CE" w:eastAsia="Times New Roman" w:hAnsi="Arial CE" w:cs="Arial CE"/>
                <w:szCs w:val="22"/>
                <w:lang w:eastAsia="pl-PL"/>
              </w:rPr>
              <w:t>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B5F94" w14:textId="47E091E5" w:rsidR="00210C1A" w:rsidRPr="003D43FD" w:rsidRDefault="004D59A3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szCs w:val="22"/>
                <w:lang w:eastAsia="pl-PL"/>
              </w:rPr>
            </w:pPr>
            <w:r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8</w:t>
            </w:r>
            <w:r w:rsidR="007D7983" w:rsidRPr="003D43FD">
              <w:rPr>
                <w:rFonts w:ascii="Arial CE" w:eastAsia="Times New Roman" w:hAnsi="Arial CE" w:cs="Arial CE"/>
                <w:sz w:val="22"/>
                <w:szCs w:val="22"/>
                <w:lang w:eastAsia="pl-PL"/>
              </w:rPr>
              <w:t>,2</w:t>
            </w:r>
          </w:p>
        </w:tc>
      </w:tr>
      <w:tr w:rsidR="00BC68A0" w:rsidRPr="001345B2" w14:paraId="199959F1" w14:textId="77777777" w:rsidTr="00D368EA">
        <w:trPr>
          <w:trHeight w:val="510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7206A" w14:textId="77777777" w:rsidR="00210C1A" w:rsidRPr="006D7B23" w:rsidRDefault="00210C1A" w:rsidP="00210C1A">
            <w:pPr>
              <w:widowControl/>
              <w:suppressAutoHyphens w:val="0"/>
              <w:jc w:val="right"/>
              <w:rPr>
                <w:rFonts w:ascii="Arial CE" w:eastAsia="Times New Roman" w:hAnsi="Arial CE" w:cs="Arial CE"/>
                <w:b/>
                <w:bCs/>
                <w:szCs w:val="22"/>
                <w:lang w:eastAsia="pl-PL"/>
              </w:rPr>
            </w:pPr>
            <w:r w:rsidRPr="006D7B23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37E38" w14:textId="3B4C9964" w:rsidR="00210C1A" w:rsidRPr="006D7B23" w:rsidRDefault="00210C1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b/>
                <w:bCs/>
                <w:szCs w:val="22"/>
                <w:lang w:eastAsia="pl-PL"/>
              </w:rPr>
            </w:pPr>
            <w:r w:rsidRPr="006D7B23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pl-PL"/>
              </w:rPr>
              <w:t>1</w:t>
            </w:r>
            <w:r w:rsidR="00AB5F4A" w:rsidRPr="006D7B23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pl-PL"/>
              </w:rPr>
              <w:t>2</w:t>
            </w:r>
            <w:r w:rsidR="00D368EA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DD99F" w14:textId="2A72D36C" w:rsidR="00210C1A" w:rsidRPr="006D7B23" w:rsidRDefault="00D368E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b/>
                <w:bCs/>
                <w:szCs w:val="22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Cs w:val="22"/>
                <w:lang w:eastAsia="pl-PL"/>
              </w:rPr>
              <w:t>8</w:t>
            </w:r>
            <w:r w:rsidR="00326236">
              <w:rPr>
                <w:rFonts w:ascii="Arial CE" w:eastAsia="Times New Roman" w:hAnsi="Arial CE" w:cs="Arial CE"/>
                <w:b/>
                <w:bCs/>
                <w:szCs w:val="22"/>
                <w:lang w:eastAsia="pl-PL"/>
              </w:rPr>
              <w:t>9,04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29A34" w14:textId="4B05F8E5" w:rsidR="00210C1A" w:rsidRPr="003D43FD" w:rsidRDefault="00210C1A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b/>
                <w:bCs/>
                <w:szCs w:val="22"/>
                <w:lang w:eastAsia="pl-PL"/>
              </w:rPr>
            </w:pPr>
            <w:r w:rsidRPr="003D43FD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pl-PL"/>
              </w:rPr>
              <w:t>1</w:t>
            </w:r>
            <w:r w:rsidR="00010CE6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pl-PL"/>
              </w:rPr>
              <w:t>2</w:t>
            </w:r>
            <w:r w:rsidR="00326236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296E1" w14:textId="174DD802" w:rsidR="00210C1A" w:rsidRPr="003D43FD" w:rsidRDefault="00010CE6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b/>
                <w:bCs/>
                <w:szCs w:val="22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Cs w:val="22"/>
                <w:lang w:eastAsia="pl-PL"/>
              </w:rPr>
              <w:t>8</w:t>
            </w:r>
            <w:r w:rsidR="00326236">
              <w:rPr>
                <w:rFonts w:ascii="Arial CE" w:eastAsia="Times New Roman" w:hAnsi="Arial CE" w:cs="Arial CE"/>
                <w:b/>
                <w:bCs/>
                <w:szCs w:val="22"/>
                <w:lang w:eastAsia="pl-PL"/>
              </w:rPr>
              <w:t>9,69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31558" w14:textId="62723B1A" w:rsidR="00210C1A" w:rsidRPr="003D43FD" w:rsidRDefault="007D7983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b/>
                <w:bCs/>
                <w:szCs w:val="22"/>
                <w:lang w:eastAsia="pl-PL"/>
              </w:rPr>
            </w:pPr>
            <w:r w:rsidRPr="003D43FD">
              <w:rPr>
                <w:rFonts w:ascii="Arial CE" w:eastAsia="Times New Roman" w:hAnsi="Arial CE" w:cs="Arial CE"/>
                <w:b/>
                <w:bCs/>
                <w:szCs w:val="22"/>
                <w:lang w:eastAsia="pl-PL"/>
              </w:rPr>
              <w:t>1</w:t>
            </w:r>
            <w:r w:rsidR="00326236">
              <w:rPr>
                <w:rFonts w:ascii="Arial CE" w:eastAsia="Times New Roman" w:hAnsi="Arial CE" w:cs="Arial CE"/>
                <w:b/>
                <w:bCs/>
                <w:szCs w:val="22"/>
                <w:lang w:eastAsia="pl-PL"/>
              </w:rPr>
              <w:t>32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6C87B" w14:textId="753D145C" w:rsidR="00210C1A" w:rsidRPr="003D43FD" w:rsidRDefault="00010CE6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b/>
                <w:bCs/>
                <w:szCs w:val="22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Cs w:val="22"/>
                <w:lang w:eastAsia="pl-PL"/>
              </w:rPr>
              <w:t>9</w:t>
            </w:r>
            <w:r w:rsidR="00326236">
              <w:rPr>
                <w:rFonts w:ascii="Arial CE" w:eastAsia="Times New Roman" w:hAnsi="Arial CE" w:cs="Arial CE"/>
                <w:b/>
                <w:bCs/>
                <w:szCs w:val="22"/>
                <w:lang w:eastAsia="pl-PL"/>
              </w:rPr>
              <w:t>7,2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5E5A9" w14:textId="7B58085C" w:rsidR="00210C1A" w:rsidRPr="003D43FD" w:rsidRDefault="007D7983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b/>
                <w:bCs/>
                <w:szCs w:val="22"/>
                <w:lang w:eastAsia="pl-PL"/>
              </w:rPr>
            </w:pPr>
            <w:r w:rsidRPr="003D43FD">
              <w:rPr>
                <w:rFonts w:ascii="Arial CE" w:eastAsia="Times New Roman" w:hAnsi="Arial CE" w:cs="Arial CE"/>
                <w:b/>
                <w:bCs/>
                <w:szCs w:val="22"/>
                <w:lang w:eastAsia="pl-PL"/>
              </w:rPr>
              <w:t>13</w:t>
            </w:r>
            <w:r w:rsidR="00326236">
              <w:rPr>
                <w:rFonts w:ascii="Arial CE" w:eastAsia="Times New Roman" w:hAnsi="Arial CE" w:cs="Arial CE"/>
                <w:b/>
                <w:bCs/>
                <w:szCs w:val="22"/>
                <w:lang w:eastAsia="pl-PL"/>
              </w:rPr>
              <w:t>4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8491A" w14:textId="66E3C9AC" w:rsidR="00210C1A" w:rsidRPr="003D43FD" w:rsidRDefault="00326236" w:rsidP="00210C1A">
            <w:pPr>
              <w:widowControl/>
              <w:suppressAutoHyphens w:val="0"/>
              <w:jc w:val="center"/>
              <w:rPr>
                <w:rFonts w:ascii="Arial CE" w:eastAsia="Times New Roman" w:hAnsi="Arial CE" w:cs="Arial CE"/>
                <w:b/>
                <w:bCs/>
                <w:szCs w:val="22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Cs w:val="22"/>
                <w:lang w:eastAsia="pl-PL"/>
              </w:rPr>
              <w:t>97,89</w:t>
            </w:r>
          </w:p>
        </w:tc>
      </w:tr>
    </w:tbl>
    <w:p w14:paraId="2B1C30D1" w14:textId="77777777" w:rsidR="000366FE" w:rsidRPr="001345B2" w:rsidRDefault="000366FE" w:rsidP="000366FE">
      <w:pPr>
        <w:rPr>
          <w:color w:val="FF0000"/>
        </w:rPr>
      </w:pPr>
    </w:p>
    <w:p w14:paraId="73899997" w14:textId="77777777" w:rsidR="00583878" w:rsidRDefault="00583878" w:rsidP="00D93B44">
      <w:pPr>
        <w:pStyle w:val="Tytu"/>
        <w:jc w:val="left"/>
        <w:rPr>
          <w:sz w:val="28"/>
          <w:szCs w:val="28"/>
        </w:rPr>
      </w:pPr>
    </w:p>
    <w:p w14:paraId="00D623A1" w14:textId="77777777" w:rsidR="00583878" w:rsidRDefault="00583878" w:rsidP="00D93B44">
      <w:pPr>
        <w:pStyle w:val="Tytu"/>
        <w:jc w:val="left"/>
        <w:rPr>
          <w:sz w:val="28"/>
          <w:szCs w:val="28"/>
        </w:rPr>
      </w:pPr>
    </w:p>
    <w:p w14:paraId="32218F03" w14:textId="77777777" w:rsidR="00583878" w:rsidRDefault="00583878" w:rsidP="00D93B44">
      <w:pPr>
        <w:pStyle w:val="Tytu"/>
        <w:jc w:val="left"/>
        <w:rPr>
          <w:sz w:val="28"/>
          <w:szCs w:val="28"/>
        </w:rPr>
      </w:pPr>
    </w:p>
    <w:p w14:paraId="4C78306B" w14:textId="77777777" w:rsidR="00583878" w:rsidRDefault="00583878" w:rsidP="00D93B44">
      <w:pPr>
        <w:pStyle w:val="Tytu"/>
        <w:jc w:val="left"/>
        <w:rPr>
          <w:sz w:val="28"/>
          <w:szCs w:val="28"/>
        </w:rPr>
      </w:pPr>
    </w:p>
    <w:p w14:paraId="39E66568" w14:textId="77777777" w:rsidR="00583878" w:rsidRDefault="00583878" w:rsidP="00D93B44">
      <w:pPr>
        <w:pStyle w:val="Tytu"/>
        <w:jc w:val="left"/>
        <w:rPr>
          <w:sz w:val="28"/>
          <w:szCs w:val="28"/>
        </w:rPr>
      </w:pPr>
    </w:p>
    <w:p w14:paraId="56CD118F" w14:textId="77777777" w:rsidR="00D93B44" w:rsidRPr="00F97945" w:rsidRDefault="00D93B44" w:rsidP="00D93B44">
      <w:pPr>
        <w:pStyle w:val="Tytu"/>
        <w:jc w:val="left"/>
        <w:rPr>
          <w:sz w:val="28"/>
          <w:szCs w:val="28"/>
        </w:rPr>
      </w:pPr>
      <w:r w:rsidRPr="00F97945">
        <w:rPr>
          <w:sz w:val="28"/>
          <w:szCs w:val="28"/>
        </w:rPr>
        <w:t>Ilość udzielonych świadczeń</w:t>
      </w:r>
    </w:p>
    <w:p w14:paraId="14277F6E" w14:textId="77777777" w:rsidR="00D93B44" w:rsidRDefault="00D93B44" w:rsidP="00D93B44">
      <w:pPr>
        <w:pStyle w:val="Tytu"/>
        <w:jc w:val="left"/>
        <w:rPr>
          <w:rFonts w:ascii="Arial" w:hAnsi="Arial" w:cs="Arial"/>
        </w:rPr>
      </w:pPr>
    </w:p>
    <w:tbl>
      <w:tblPr>
        <w:tblW w:w="902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3404"/>
        <w:gridCol w:w="4474"/>
      </w:tblGrid>
      <w:tr w:rsidR="00D93B44" w14:paraId="0FFF6403" w14:textId="77777777" w:rsidTr="007E0A25">
        <w:trPr>
          <w:trHeight w:val="1284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5068B1" w14:textId="77777777" w:rsidR="00D93B44" w:rsidRPr="002C1A44" w:rsidRDefault="00D93B44" w:rsidP="007E0A25">
            <w:pPr>
              <w:jc w:val="center"/>
              <w:rPr>
                <w:rFonts w:ascii="Calibri" w:eastAsia="Arial Unicode MS" w:hAnsi="Calibri" w:cs="Arial"/>
                <w:b/>
                <w:bCs/>
                <w:iCs/>
              </w:rPr>
            </w:pPr>
            <w:r w:rsidRPr="002C1A44">
              <w:rPr>
                <w:rFonts w:ascii="Calibri" w:hAnsi="Calibri" w:cs="Arial"/>
                <w:b/>
                <w:bCs/>
                <w:iCs/>
              </w:rPr>
              <w:t>Lp.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D1DF4" w14:textId="77777777" w:rsidR="00D93B44" w:rsidRPr="002C1A44" w:rsidRDefault="00D93B44" w:rsidP="007E0A25">
            <w:pPr>
              <w:jc w:val="center"/>
              <w:rPr>
                <w:rFonts w:ascii="Calibri" w:eastAsia="Arial Unicode MS" w:hAnsi="Calibri" w:cs="Arial"/>
                <w:b/>
                <w:bCs/>
                <w:iCs/>
              </w:rPr>
            </w:pPr>
            <w:r w:rsidRPr="002C1A44">
              <w:rPr>
                <w:rFonts w:ascii="Calibri" w:hAnsi="Calibri" w:cs="Arial"/>
                <w:b/>
                <w:bCs/>
                <w:iCs/>
              </w:rPr>
              <w:t>Rok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02D057" w14:textId="77777777" w:rsidR="00D93B44" w:rsidRPr="002C1A44" w:rsidRDefault="00D93B44" w:rsidP="007E0A25">
            <w:pPr>
              <w:jc w:val="center"/>
              <w:rPr>
                <w:rFonts w:ascii="Calibri" w:eastAsia="Arial Unicode MS" w:hAnsi="Calibri" w:cs="Arial"/>
                <w:b/>
                <w:bCs/>
                <w:iCs/>
              </w:rPr>
            </w:pPr>
            <w:r w:rsidRPr="002C1A44">
              <w:rPr>
                <w:rFonts w:ascii="Calibri" w:hAnsi="Calibri" w:cs="Arial"/>
                <w:b/>
                <w:bCs/>
                <w:iCs/>
              </w:rPr>
              <w:t xml:space="preserve"> Ilość udzielonych świadczeń zdrowotnych</w:t>
            </w:r>
            <w:r>
              <w:rPr>
                <w:rFonts w:ascii="Calibri" w:hAnsi="Calibri" w:cs="Arial"/>
                <w:b/>
                <w:bCs/>
                <w:iCs/>
              </w:rPr>
              <w:t xml:space="preserve"> ogółem we wszystkich komórkach organizacyjnych</w:t>
            </w:r>
          </w:p>
        </w:tc>
      </w:tr>
      <w:tr w:rsidR="00D93B44" w14:paraId="79271EC0" w14:textId="77777777" w:rsidTr="007E0A25">
        <w:trPr>
          <w:trHeight w:val="514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C88BA" w14:textId="77777777" w:rsidR="00D93B44" w:rsidRPr="00897753" w:rsidRDefault="00D93B44" w:rsidP="007E0A25">
            <w:pPr>
              <w:jc w:val="center"/>
              <w:rPr>
                <w:rFonts w:ascii="Calibri" w:eastAsia="Arial Unicode MS" w:hAnsi="Calibri" w:cs="Arial"/>
              </w:rPr>
            </w:pPr>
            <w:r w:rsidRPr="00897753">
              <w:rPr>
                <w:rFonts w:ascii="Calibri" w:hAnsi="Calibri" w:cs="Arial"/>
              </w:rPr>
              <w:t>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0625E8" w14:textId="1A731CD8" w:rsidR="00D93B44" w:rsidRPr="00897753" w:rsidRDefault="00D93B44" w:rsidP="007E0A25">
            <w:pPr>
              <w:jc w:val="center"/>
              <w:rPr>
                <w:rFonts w:ascii="Calibri" w:eastAsia="Arial Unicode MS" w:hAnsi="Calibri" w:cs="Arial"/>
              </w:rPr>
            </w:pPr>
            <w:r w:rsidRPr="00897753">
              <w:rPr>
                <w:rFonts w:ascii="Calibri" w:hAnsi="Calibri" w:cs="Arial"/>
              </w:rPr>
              <w:t>20</w:t>
            </w:r>
            <w:r w:rsidR="00583878">
              <w:rPr>
                <w:rFonts w:ascii="Calibri" w:hAnsi="Calibri" w:cs="Arial"/>
              </w:rPr>
              <w:t>2</w:t>
            </w:r>
            <w:r w:rsidR="00326236">
              <w:rPr>
                <w:rFonts w:ascii="Calibri" w:hAnsi="Calibri" w:cs="Arial"/>
              </w:rPr>
              <w:t>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E9030F" w14:textId="448AB12B" w:rsidR="00D93B44" w:rsidRPr="00897753" w:rsidRDefault="00326236" w:rsidP="007E0A25">
            <w:pPr>
              <w:jc w:val="center"/>
              <w:rPr>
                <w:rFonts w:ascii="Calibri" w:eastAsia="Arial Unicode MS" w:hAnsi="Calibri" w:cs="Arial"/>
              </w:rPr>
            </w:pPr>
            <w:r>
              <w:rPr>
                <w:rFonts w:ascii="Calibri" w:eastAsia="Arial Unicode MS" w:hAnsi="Calibri" w:cs="Arial"/>
              </w:rPr>
              <w:t>127615</w:t>
            </w:r>
          </w:p>
        </w:tc>
      </w:tr>
      <w:tr w:rsidR="00D93B44" w14:paraId="5CFE84A3" w14:textId="77777777" w:rsidTr="007E0A25">
        <w:trPr>
          <w:trHeight w:val="514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D3B6D1" w14:textId="77777777" w:rsidR="00D93B44" w:rsidRPr="00897753" w:rsidRDefault="00D93B44" w:rsidP="007E0A25">
            <w:pPr>
              <w:jc w:val="center"/>
              <w:rPr>
                <w:rFonts w:ascii="Calibri" w:eastAsia="Arial Unicode MS" w:hAnsi="Calibri" w:cs="Arial"/>
              </w:rPr>
            </w:pPr>
            <w:r w:rsidRPr="00897753">
              <w:rPr>
                <w:rFonts w:ascii="Calibri" w:hAnsi="Calibri" w:cs="Arial"/>
              </w:rPr>
              <w:t>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94E90" w14:textId="1495245E" w:rsidR="00D93B44" w:rsidRPr="00897753" w:rsidRDefault="00D93B44" w:rsidP="007E0A25">
            <w:pPr>
              <w:jc w:val="center"/>
              <w:rPr>
                <w:rFonts w:ascii="Calibri" w:eastAsia="Arial Unicode MS" w:hAnsi="Calibri" w:cs="Arial"/>
              </w:rPr>
            </w:pPr>
            <w:r w:rsidRPr="00897753">
              <w:rPr>
                <w:rFonts w:ascii="Calibri" w:hAnsi="Calibri" w:cs="Arial"/>
              </w:rPr>
              <w:t>20</w:t>
            </w:r>
            <w:r w:rsidR="00426535">
              <w:rPr>
                <w:rFonts w:ascii="Calibri" w:hAnsi="Calibri" w:cs="Arial"/>
              </w:rPr>
              <w:t>2</w:t>
            </w:r>
            <w:r w:rsidR="00326236">
              <w:rPr>
                <w:rFonts w:ascii="Calibri" w:hAnsi="Calibri" w:cs="Arial"/>
              </w:rPr>
              <w:t>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7ADAD" w14:textId="77777777" w:rsidR="00D93B44" w:rsidRPr="00897753" w:rsidRDefault="00C95A55" w:rsidP="007E0A25">
            <w:pPr>
              <w:jc w:val="center"/>
              <w:rPr>
                <w:rFonts w:ascii="Calibri" w:eastAsia="Arial Unicode MS" w:hAnsi="Calibri" w:cs="Arial"/>
              </w:rPr>
            </w:pPr>
            <w:r>
              <w:rPr>
                <w:rFonts w:ascii="Calibri" w:eastAsia="Arial Unicode MS" w:hAnsi="Calibri" w:cs="Arial"/>
              </w:rPr>
              <w:t>1</w:t>
            </w:r>
            <w:r w:rsidR="001345B2">
              <w:rPr>
                <w:rFonts w:ascii="Calibri" w:eastAsia="Arial Unicode MS" w:hAnsi="Calibri" w:cs="Arial"/>
              </w:rPr>
              <w:t>30 000</w:t>
            </w:r>
          </w:p>
        </w:tc>
      </w:tr>
      <w:tr w:rsidR="00D93B44" w14:paraId="73A4C92D" w14:textId="77777777" w:rsidTr="007E0A25">
        <w:trPr>
          <w:trHeight w:val="514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3434C" w14:textId="77777777" w:rsidR="00D93B44" w:rsidRPr="00897753" w:rsidRDefault="00D93B44" w:rsidP="007E0A25">
            <w:pPr>
              <w:jc w:val="center"/>
              <w:rPr>
                <w:rFonts w:ascii="Calibri" w:hAnsi="Calibri" w:cs="Arial"/>
              </w:rPr>
            </w:pPr>
            <w:r w:rsidRPr="00897753">
              <w:rPr>
                <w:rFonts w:ascii="Calibri" w:hAnsi="Calibri" w:cs="Arial"/>
              </w:rPr>
              <w:t>3.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A98B88" w14:textId="0FB6458A" w:rsidR="00D93B44" w:rsidRPr="00897753" w:rsidRDefault="00D93B44" w:rsidP="007E0A2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</w:t>
            </w:r>
            <w:r w:rsidR="00C95A55">
              <w:rPr>
                <w:rFonts w:ascii="Calibri" w:hAnsi="Calibri" w:cs="Arial"/>
              </w:rPr>
              <w:t>2</w:t>
            </w:r>
            <w:r w:rsidR="00326236">
              <w:rPr>
                <w:rFonts w:ascii="Calibri" w:hAnsi="Calibri" w:cs="Arial"/>
              </w:rPr>
              <w:t>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5AC0D7" w14:textId="0EED7918" w:rsidR="00D93B44" w:rsidRPr="00897753" w:rsidRDefault="00C95A55" w:rsidP="007E0A2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  <w:r w:rsidR="00413330">
              <w:rPr>
                <w:rFonts w:ascii="Calibri" w:hAnsi="Calibri" w:cs="Arial"/>
              </w:rPr>
              <w:t>3</w:t>
            </w:r>
            <w:r w:rsidR="00326236">
              <w:rPr>
                <w:rFonts w:ascii="Calibri" w:hAnsi="Calibri" w:cs="Arial"/>
              </w:rPr>
              <w:t>2</w:t>
            </w:r>
            <w:r w:rsidR="005F3AAB">
              <w:rPr>
                <w:rFonts w:ascii="Calibri" w:hAnsi="Calibri" w:cs="Arial"/>
              </w:rPr>
              <w:t xml:space="preserve"> 000</w:t>
            </w:r>
          </w:p>
        </w:tc>
      </w:tr>
      <w:tr w:rsidR="00D93B44" w14:paraId="28600EFD" w14:textId="77777777" w:rsidTr="007D7983">
        <w:trPr>
          <w:trHeight w:val="514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C6B1B8" w14:textId="77777777" w:rsidR="00D93B44" w:rsidRPr="00897753" w:rsidRDefault="00D93B44" w:rsidP="007E0A25">
            <w:pPr>
              <w:jc w:val="center"/>
              <w:rPr>
                <w:rFonts w:ascii="Calibri" w:hAnsi="Calibri" w:cs="Arial"/>
              </w:rPr>
            </w:pPr>
            <w:r w:rsidRPr="00897753">
              <w:rPr>
                <w:rFonts w:ascii="Calibri" w:hAnsi="Calibri" w:cs="Arial"/>
              </w:rPr>
              <w:t>4.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CA8C0" w14:textId="4E8387A7" w:rsidR="00D93B44" w:rsidRPr="00897753" w:rsidRDefault="00D93B44" w:rsidP="007E0A2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</w:t>
            </w:r>
            <w:r w:rsidR="00CD2CDC">
              <w:rPr>
                <w:rFonts w:ascii="Calibri" w:hAnsi="Calibri" w:cs="Arial"/>
              </w:rPr>
              <w:t>2</w:t>
            </w:r>
            <w:r w:rsidR="00326236">
              <w:rPr>
                <w:rFonts w:ascii="Calibri" w:hAnsi="Calibri" w:cs="Arial"/>
              </w:rPr>
              <w:t>6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29D79" w14:textId="3D71CBE6" w:rsidR="00D93B44" w:rsidRPr="00897753" w:rsidRDefault="00C95A55" w:rsidP="007E0A2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  <w:r w:rsidR="00326236">
              <w:rPr>
                <w:rFonts w:ascii="Calibri" w:hAnsi="Calibri" w:cs="Arial"/>
              </w:rPr>
              <w:t>35</w:t>
            </w:r>
            <w:r w:rsidR="001345B2">
              <w:rPr>
                <w:rFonts w:ascii="Calibri" w:hAnsi="Calibri" w:cs="Arial"/>
              </w:rPr>
              <w:t xml:space="preserve"> 000</w:t>
            </w:r>
          </w:p>
        </w:tc>
      </w:tr>
      <w:tr w:rsidR="007D7983" w14:paraId="5D98B76D" w14:textId="77777777" w:rsidTr="007E0A25">
        <w:trPr>
          <w:trHeight w:val="514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2BC632" w14:textId="77777777" w:rsidR="00864579" w:rsidRPr="00897753" w:rsidRDefault="00864579" w:rsidP="00864579">
            <w:pPr>
              <w:rPr>
                <w:rFonts w:ascii="Calibri" w:hAnsi="Calibri" w:cs="Arial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F2E2E" w14:textId="77777777" w:rsidR="007D7983" w:rsidRDefault="007D7983" w:rsidP="007E0A25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B4F29" w14:textId="77777777" w:rsidR="007D7983" w:rsidRDefault="007D7983" w:rsidP="007E0A25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0B76C158" w14:textId="77777777" w:rsidR="00494701" w:rsidRDefault="00494701" w:rsidP="00772DB1">
      <w:pPr>
        <w:pStyle w:val="Tytu"/>
        <w:spacing w:line="360" w:lineRule="auto"/>
        <w:jc w:val="left"/>
        <w:rPr>
          <w:rFonts w:eastAsia="Lucida Sans Unicode"/>
          <w:b w:val="0"/>
          <w:color w:val="FF0000"/>
          <w:lang w:eastAsia="ar-SA"/>
        </w:rPr>
      </w:pPr>
    </w:p>
    <w:p w14:paraId="1851D64A" w14:textId="5564825B" w:rsidR="00FE0D68" w:rsidRDefault="009D476F" w:rsidP="00494701">
      <w:pPr>
        <w:pStyle w:val="Tytu"/>
        <w:spacing w:line="360" w:lineRule="auto"/>
        <w:jc w:val="both"/>
        <w:rPr>
          <w:rFonts w:eastAsia="Lucida Sans Unicode"/>
          <w:b w:val="0"/>
          <w:lang w:eastAsia="ar-SA"/>
        </w:rPr>
      </w:pPr>
      <w:r>
        <w:rPr>
          <w:rFonts w:eastAsia="Lucida Sans Unicode"/>
          <w:b w:val="0"/>
          <w:lang w:eastAsia="ar-SA"/>
        </w:rPr>
        <w:lastRenderedPageBreak/>
        <w:t>I</w:t>
      </w:r>
      <w:r w:rsidR="00494701" w:rsidRPr="00494701">
        <w:rPr>
          <w:rFonts w:eastAsia="Lucida Sans Unicode"/>
          <w:b w:val="0"/>
          <w:lang w:eastAsia="ar-SA"/>
        </w:rPr>
        <w:t>lość udzielonych świadczeń zdrowotnych ogó</w:t>
      </w:r>
      <w:r w:rsidR="006D7B23">
        <w:rPr>
          <w:rFonts w:eastAsia="Lucida Sans Unicode"/>
          <w:b w:val="0"/>
          <w:lang w:eastAsia="ar-SA"/>
        </w:rPr>
        <w:t>ł</w:t>
      </w:r>
      <w:r w:rsidR="00494701" w:rsidRPr="00494701">
        <w:rPr>
          <w:rFonts w:eastAsia="Lucida Sans Unicode"/>
          <w:b w:val="0"/>
          <w:lang w:eastAsia="ar-SA"/>
        </w:rPr>
        <w:t xml:space="preserve">em we wszystkich komórkach organizacyjnych </w:t>
      </w:r>
      <w:r w:rsidR="00326236">
        <w:rPr>
          <w:rFonts w:eastAsia="Lucida Sans Unicode"/>
          <w:b w:val="0"/>
          <w:lang w:eastAsia="ar-SA"/>
        </w:rPr>
        <w:t>uległa niewielkiemu obniżeniu</w:t>
      </w:r>
      <w:r w:rsidR="00494701" w:rsidRPr="00494701">
        <w:rPr>
          <w:rFonts w:eastAsia="Lucida Sans Unicode"/>
          <w:b w:val="0"/>
          <w:lang w:eastAsia="ar-SA"/>
        </w:rPr>
        <w:t xml:space="preserve"> w stosunku do roku 202</w:t>
      </w:r>
      <w:r w:rsidR="00326236">
        <w:rPr>
          <w:rFonts w:eastAsia="Lucida Sans Unicode"/>
          <w:b w:val="0"/>
          <w:lang w:eastAsia="ar-SA"/>
        </w:rPr>
        <w:t>2</w:t>
      </w:r>
      <w:r w:rsidR="00494701" w:rsidRPr="00494701">
        <w:rPr>
          <w:rFonts w:eastAsia="Lucida Sans Unicode"/>
          <w:b w:val="0"/>
          <w:lang w:eastAsia="ar-SA"/>
        </w:rPr>
        <w:t xml:space="preserve"> o</w:t>
      </w:r>
      <w:r w:rsidR="008526CA">
        <w:rPr>
          <w:rFonts w:eastAsia="Lucida Sans Unicode"/>
          <w:b w:val="0"/>
          <w:lang w:eastAsia="ar-SA"/>
        </w:rPr>
        <w:t xml:space="preserve"> </w:t>
      </w:r>
      <w:r w:rsidR="00326236">
        <w:rPr>
          <w:rFonts w:eastAsia="Lucida Sans Unicode"/>
          <w:b w:val="0"/>
          <w:lang w:eastAsia="ar-SA"/>
        </w:rPr>
        <w:t>1947</w:t>
      </w:r>
      <w:r w:rsidR="008526CA">
        <w:rPr>
          <w:rFonts w:eastAsia="Lucida Sans Unicode"/>
          <w:b w:val="0"/>
          <w:lang w:eastAsia="ar-SA"/>
        </w:rPr>
        <w:t xml:space="preserve"> świadczenia.</w:t>
      </w:r>
      <w:r w:rsidR="00494701" w:rsidRPr="00494701">
        <w:rPr>
          <w:rFonts w:eastAsia="Lucida Sans Unicode"/>
          <w:b w:val="0"/>
          <w:lang w:eastAsia="ar-SA"/>
        </w:rPr>
        <w:t xml:space="preserve"> W dalszych latach planujemy </w:t>
      </w:r>
      <w:r w:rsidR="002A4C96">
        <w:rPr>
          <w:rFonts w:eastAsia="Lucida Sans Unicode"/>
          <w:b w:val="0"/>
          <w:lang w:eastAsia="ar-SA"/>
        </w:rPr>
        <w:t xml:space="preserve"> </w:t>
      </w:r>
      <w:r w:rsidR="00494701" w:rsidRPr="00494701">
        <w:rPr>
          <w:rFonts w:eastAsia="Lucida Sans Unicode"/>
          <w:b w:val="0"/>
          <w:lang w:eastAsia="ar-SA"/>
        </w:rPr>
        <w:t>zwiększ</w:t>
      </w:r>
      <w:r w:rsidR="002A4C96">
        <w:rPr>
          <w:rFonts w:eastAsia="Lucida Sans Unicode"/>
          <w:b w:val="0"/>
          <w:lang w:eastAsia="ar-SA"/>
        </w:rPr>
        <w:t>a</w:t>
      </w:r>
      <w:r w:rsidR="00494701" w:rsidRPr="00494701">
        <w:rPr>
          <w:rFonts w:eastAsia="Lucida Sans Unicode"/>
          <w:b w:val="0"/>
          <w:lang w:eastAsia="ar-SA"/>
        </w:rPr>
        <w:t xml:space="preserve">nie ilości świadczeń </w:t>
      </w:r>
      <w:r w:rsidR="002A4C96">
        <w:rPr>
          <w:rFonts w:eastAsia="Lucida Sans Unicode"/>
          <w:b w:val="0"/>
          <w:lang w:eastAsia="ar-SA"/>
        </w:rPr>
        <w:t>udzielanych małym pacjentom.</w:t>
      </w:r>
    </w:p>
    <w:p w14:paraId="2952F394" w14:textId="77777777" w:rsidR="00FE0D68" w:rsidRDefault="00FE0D68" w:rsidP="00494701">
      <w:pPr>
        <w:pStyle w:val="Tytu"/>
        <w:spacing w:line="360" w:lineRule="auto"/>
        <w:jc w:val="both"/>
        <w:rPr>
          <w:rFonts w:eastAsia="Lucida Sans Unicode"/>
          <w:b w:val="0"/>
          <w:lang w:eastAsia="ar-SA"/>
        </w:rPr>
      </w:pPr>
    </w:p>
    <w:p w14:paraId="6AC10C77" w14:textId="77777777" w:rsidR="00FE0D68" w:rsidRDefault="00FE0D68" w:rsidP="00494701">
      <w:pPr>
        <w:pStyle w:val="Tytu"/>
        <w:spacing w:line="360" w:lineRule="auto"/>
        <w:jc w:val="both"/>
        <w:rPr>
          <w:rFonts w:eastAsia="Lucida Sans Unicode"/>
          <w:b w:val="0"/>
          <w:lang w:eastAsia="ar-SA"/>
        </w:rPr>
      </w:pPr>
    </w:p>
    <w:p w14:paraId="213F5DBB" w14:textId="77777777" w:rsidR="00FE0D68" w:rsidRDefault="00FE0D68" w:rsidP="00494701">
      <w:pPr>
        <w:pStyle w:val="Tytu"/>
        <w:spacing w:line="360" w:lineRule="auto"/>
        <w:jc w:val="both"/>
        <w:rPr>
          <w:rFonts w:eastAsia="Lucida Sans Unicode"/>
          <w:b w:val="0"/>
          <w:lang w:eastAsia="ar-SA"/>
        </w:rPr>
      </w:pPr>
    </w:p>
    <w:p w14:paraId="16FB9A17" w14:textId="77777777" w:rsidR="00FE0D68" w:rsidRPr="00445627" w:rsidRDefault="00FE0D68" w:rsidP="00FE0D68">
      <w:pPr>
        <w:pStyle w:val="Tytu"/>
        <w:jc w:val="left"/>
        <w:rPr>
          <w:sz w:val="32"/>
          <w:szCs w:val="32"/>
        </w:rPr>
      </w:pPr>
      <w:r w:rsidRPr="00445627">
        <w:rPr>
          <w:sz w:val="32"/>
          <w:szCs w:val="32"/>
        </w:rPr>
        <w:t>Analiza sytuacji finansowej</w:t>
      </w:r>
    </w:p>
    <w:p w14:paraId="4D531EF3" w14:textId="77777777" w:rsidR="00FE0D68" w:rsidRDefault="00FE0D68" w:rsidP="00FE0D68">
      <w:pPr>
        <w:widowControl/>
        <w:suppressAutoHyphens w:val="0"/>
        <w:jc w:val="both"/>
        <w:rPr>
          <w:b/>
          <w:szCs w:val="24"/>
        </w:rPr>
      </w:pPr>
    </w:p>
    <w:p w14:paraId="08D72BC5" w14:textId="77777777" w:rsidR="00FE0D68" w:rsidRDefault="00FE0D68" w:rsidP="00FE0D68">
      <w:pPr>
        <w:widowControl/>
        <w:suppressAutoHyphens w:val="0"/>
        <w:jc w:val="both"/>
        <w:rPr>
          <w:b/>
          <w:szCs w:val="24"/>
        </w:rPr>
      </w:pPr>
    </w:p>
    <w:tbl>
      <w:tblPr>
        <w:tblW w:w="90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2"/>
        <w:gridCol w:w="1778"/>
        <w:gridCol w:w="1800"/>
        <w:gridCol w:w="1800"/>
        <w:gridCol w:w="1800"/>
      </w:tblGrid>
      <w:tr w:rsidR="00FE0D68" w14:paraId="386D1F94" w14:textId="77777777" w:rsidTr="00993A9C">
        <w:trPr>
          <w:trHeight w:val="425"/>
        </w:trPr>
        <w:tc>
          <w:tcPr>
            <w:tcW w:w="1892" w:type="dxa"/>
            <w:vAlign w:val="center"/>
          </w:tcPr>
          <w:p w14:paraId="41B6CFBA" w14:textId="77777777" w:rsidR="00FE0D68" w:rsidRPr="00210995" w:rsidRDefault="00FE0D68" w:rsidP="00993A9C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</w:p>
        </w:tc>
        <w:tc>
          <w:tcPr>
            <w:tcW w:w="1778" w:type="dxa"/>
            <w:vAlign w:val="center"/>
          </w:tcPr>
          <w:p w14:paraId="1D4BDE07" w14:textId="36F2C6F5" w:rsidR="00FE0D68" w:rsidRPr="00210995" w:rsidRDefault="00FE0D68" w:rsidP="00993A9C">
            <w:pPr>
              <w:jc w:val="center"/>
              <w:rPr>
                <w:rFonts w:ascii="Calibri" w:hAnsi="Calibri" w:cs="Arial"/>
                <w:b/>
                <w:bCs/>
                <w:iCs/>
              </w:rPr>
            </w:pPr>
            <w:r>
              <w:rPr>
                <w:rFonts w:ascii="Calibri" w:hAnsi="Calibri" w:cs="Arial"/>
                <w:b/>
                <w:bCs/>
                <w:iCs/>
              </w:rPr>
              <w:t>202</w:t>
            </w:r>
            <w:r w:rsidR="00707893">
              <w:rPr>
                <w:rFonts w:ascii="Calibri" w:hAnsi="Calibri" w:cs="Arial"/>
                <w:b/>
                <w:bCs/>
                <w:iCs/>
              </w:rPr>
              <w:t>3</w:t>
            </w:r>
          </w:p>
        </w:tc>
        <w:tc>
          <w:tcPr>
            <w:tcW w:w="1800" w:type="dxa"/>
            <w:vAlign w:val="center"/>
          </w:tcPr>
          <w:p w14:paraId="029162A7" w14:textId="1F2152A1" w:rsidR="00FE0D68" w:rsidRPr="00210995" w:rsidRDefault="00FE0D68" w:rsidP="00993A9C">
            <w:pPr>
              <w:jc w:val="center"/>
              <w:rPr>
                <w:rFonts w:ascii="Calibri" w:hAnsi="Calibri" w:cs="Arial"/>
                <w:b/>
                <w:bCs/>
                <w:iCs/>
              </w:rPr>
            </w:pPr>
            <w:r>
              <w:rPr>
                <w:rFonts w:ascii="Calibri" w:hAnsi="Calibri" w:cs="Arial"/>
                <w:b/>
                <w:bCs/>
                <w:iCs/>
              </w:rPr>
              <w:t>202</w:t>
            </w:r>
            <w:r w:rsidR="00707893">
              <w:rPr>
                <w:rFonts w:ascii="Calibri" w:hAnsi="Calibri" w:cs="Arial"/>
                <w:b/>
                <w:bCs/>
                <w:iCs/>
              </w:rPr>
              <w:t>4</w:t>
            </w:r>
          </w:p>
        </w:tc>
        <w:tc>
          <w:tcPr>
            <w:tcW w:w="1800" w:type="dxa"/>
            <w:vAlign w:val="center"/>
          </w:tcPr>
          <w:p w14:paraId="1E82454F" w14:textId="2B43D41D" w:rsidR="00FE0D68" w:rsidRPr="00210995" w:rsidRDefault="00FE0D68" w:rsidP="00993A9C">
            <w:pPr>
              <w:jc w:val="center"/>
              <w:rPr>
                <w:rFonts w:ascii="Calibri" w:hAnsi="Calibri" w:cs="Arial"/>
                <w:b/>
                <w:bCs/>
                <w:iCs/>
              </w:rPr>
            </w:pPr>
            <w:r>
              <w:rPr>
                <w:rFonts w:ascii="Calibri" w:hAnsi="Calibri" w:cs="Arial"/>
                <w:b/>
                <w:bCs/>
                <w:iCs/>
              </w:rPr>
              <w:t>202</w:t>
            </w:r>
            <w:r w:rsidR="00707893">
              <w:rPr>
                <w:rFonts w:ascii="Calibri" w:hAnsi="Calibri" w:cs="Arial"/>
                <w:b/>
                <w:bCs/>
                <w:iCs/>
              </w:rPr>
              <w:t>5</w:t>
            </w:r>
          </w:p>
        </w:tc>
        <w:tc>
          <w:tcPr>
            <w:tcW w:w="1800" w:type="dxa"/>
            <w:vAlign w:val="center"/>
          </w:tcPr>
          <w:p w14:paraId="06A9BABA" w14:textId="34BFBBBB" w:rsidR="00FE0D68" w:rsidRPr="00210995" w:rsidRDefault="00FE0D68" w:rsidP="00993A9C">
            <w:pPr>
              <w:jc w:val="center"/>
              <w:rPr>
                <w:rFonts w:ascii="Calibri" w:hAnsi="Calibri" w:cs="Arial"/>
                <w:b/>
                <w:bCs/>
                <w:iCs/>
              </w:rPr>
            </w:pPr>
            <w:r>
              <w:rPr>
                <w:rFonts w:ascii="Calibri" w:hAnsi="Calibri" w:cs="Arial"/>
                <w:b/>
                <w:bCs/>
                <w:iCs/>
              </w:rPr>
              <w:t>202</w:t>
            </w:r>
            <w:r w:rsidR="00707893">
              <w:rPr>
                <w:rFonts w:ascii="Calibri" w:hAnsi="Calibri" w:cs="Arial"/>
                <w:b/>
                <w:bCs/>
                <w:iCs/>
              </w:rPr>
              <w:t>6</w:t>
            </w:r>
          </w:p>
        </w:tc>
      </w:tr>
      <w:tr w:rsidR="00FE0D68" w14:paraId="12E69B38" w14:textId="77777777" w:rsidTr="00993A9C">
        <w:trPr>
          <w:trHeight w:val="589"/>
        </w:trPr>
        <w:tc>
          <w:tcPr>
            <w:tcW w:w="1892" w:type="dxa"/>
            <w:vAlign w:val="center"/>
          </w:tcPr>
          <w:p w14:paraId="4D613879" w14:textId="77777777" w:rsidR="00FE0D68" w:rsidRPr="00F4703C" w:rsidRDefault="00FE0D68" w:rsidP="00993A9C">
            <w:pPr>
              <w:pStyle w:val="Nagwek3"/>
              <w:spacing w:line="360" w:lineRule="auto"/>
              <w:jc w:val="center"/>
              <w:rPr>
                <w:rFonts w:ascii="Calibri" w:hAnsi="Calibri" w:cs="Arial"/>
                <w:b w:val="0"/>
                <w:bCs w:val="0"/>
                <w:color w:val="auto"/>
                <w:szCs w:val="22"/>
              </w:rPr>
            </w:pPr>
            <w:r w:rsidRPr="00F4703C">
              <w:rPr>
                <w:rFonts w:ascii="Calibri" w:hAnsi="Calibri" w:cs="Arial"/>
                <w:b w:val="0"/>
                <w:bCs w:val="0"/>
                <w:color w:val="auto"/>
                <w:sz w:val="22"/>
                <w:szCs w:val="22"/>
              </w:rPr>
              <w:t>Przychody ogółem</w:t>
            </w:r>
          </w:p>
        </w:tc>
        <w:tc>
          <w:tcPr>
            <w:tcW w:w="1778" w:type="dxa"/>
            <w:vAlign w:val="center"/>
          </w:tcPr>
          <w:p w14:paraId="25C04D47" w14:textId="6EC94D94" w:rsidR="00FE0D68" w:rsidRPr="00434F7C" w:rsidRDefault="00707893" w:rsidP="00993A9C">
            <w:pPr>
              <w:spacing w:line="360" w:lineRule="auto"/>
              <w:jc w:val="right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15946015,29</w:t>
            </w:r>
          </w:p>
        </w:tc>
        <w:tc>
          <w:tcPr>
            <w:tcW w:w="1800" w:type="dxa"/>
            <w:vAlign w:val="center"/>
          </w:tcPr>
          <w:p w14:paraId="5D617608" w14:textId="2B347A97" w:rsidR="00FE0D68" w:rsidRPr="00DB5192" w:rsidRDefault="00D7255E" w:rsidP="00993A9C">
            <w:pPr>
              <w:spacing w:line="360" w:lineRule="auto"/>
              <w:jc w:val="right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16504568,80</w:t>
            </w:r>
          </w:p>
        </w:tc>
        <w:tc>
          <w:tcPr>
            <w:tcW w:w="1800" w:type="dxa"/>
            <w:vAlign w:val="center"/>
          </w:tcPr>
          <w:p w14:paraId="7EF9F78E" w14:textId="3B01F075" w:rsidR="00FE0D68" w:rsidRPr="00DB5192" w:rsidRDefault="00033B9F" w:rsidP="00993A9C">
            <w:pPr>
              <w:spacing w:line="360" w:lineRule="auto"/>
              <w:jc w:val="right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17967500,00</w:t>
            </w:r>
          </w:p>
        </w:tc>
        <w:tc>
          <w:tcPr>
            <w:tcW w:w="1800" w:type="dxa"/>
            <w:vAlign w:val="center"/>
          </w:tcPr>
          <w:p w14:paraId="569AFCF1" w14:textId="7B3E8C57" w:rsidR="00FE0D68" w:rsidRPr="00DB5192" w:rsidRDefault="007B00CA" w:rsidP="00993A9C">
            <w:pPr>
              <w:spacing w:line="360" w:lineRule="auto"/>
              <w:jc w:val="right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18343000,00</w:t>
            </w:r>
          </w:p>
        </w:tc>
      </w:tr>
      <w:tr w:rsidR="00FE0D68" w14:paraId="25D1CE21" w14:textId="77777777" w:rsidTr="00993A9C">
        <w:trPr>
          <w:trHeight w:val="589"/>
        </w:trPr>
        <w:tc>
          <w:tcPr>
            <w:tcW w:w="1892" w:type="dxa"/>
            <w:vAlign w:val="center"/>
          </w:tcPr>
          <w:p w14:paraId="33DD7BE0" w14:textId="77777777" w:rsidR="00FE0D68" w:rsidRPr="00210995" w:rsidRDefault="00FE0D68" w:rsidP="00993A9C">
            <w:pPr>
              <w:spacing w:line="360" w:lineRule="auto"/>
              <w:jc w:val="center"/>
              <w:rPr>
                <w:rFonts w:ascii="Calibri" w:hAnsi="Calibri" w:cs="Arial"/>
                <w:szCs w:val="22"/>
              </w:rPr>
            </w:pPr>
            <w:r w:rsidRPr="00210995">
              <w:rPr>
                <w:rFonts w:ascii="Calibri" w:hAnsi="Calibri" w:cs="Arial"/>
                <w:sz w:val="22"/>
                <w:szCs w:val="22"/>
              </w:rPr>
              <w:t>Koszty ogółem</w:t>
            </w:r>
          </w:p>
        </w:tc>
        <w:tc>
          <w:tcPr>
            <w:tcW w:w="1778" w:type="dxa"/>
            <w:vAlign w:val="center"/>
          </w:tcPr>
          <w:p w14:paraId="52E6139F" w14:textId="3A91EE83" w:rsidR="00FE0D68" w:rsidRPr="00434F7C" w:rsidRDefault="00707893" w:rsidP="00993A9C">
            <w:pPr>
              <w:spacing w:line="360" w:lineRule="auto"/>
              <w:jc w:val="right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15422210,19</w:t>
            </w:r>
          </w:p>
        </w:tc>
        <w:tc>
          <w:tcPr>
            <w:tcW w:w="1800" w:type="dxa"/>
            <w:vAlign w:val="center"/>
          </w:tcPr>
          <w:p w14:paraId="5F8B8D08" w14:textId="21A089A1" w:rsidR="00FE0D68" w:rsidRPr="00DB5192" w:rsidRDefault="00D7255E" w:rsidP="00993A9C">
            <w:pPr>
              <w:spacing w:line="360" w:lineRule="auto"/>
              <w:jc w:val="right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16467388,80</w:t>
            </w:r>
          </w:p>
        </w:tc>
        <w:tc>
          <w:tcPr>
            <w:tcW w:w="1800" w:type="dxa"/>
            <w:vAlign w:val="center"/>
          </w:tcPr>
          <w:p w14:paraId="07AE56AF" w14:textId="280A75B9" w:rsidR="00FE0D68" w:rsidRPr="00DB5192" w:rsidRDefault="00033B9F" w:rsidP="00993A9C">
            <w:pPr>
              <w:spacing w:line="360" w:lineRule="auto"/>
              <w:jc w:val="right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17923230,00</w:t>
            </w:r>
          </w:p>
        </w:tc>
        <w:tc>
          <w:tcPr>
            <w:tcW w:w="1800" w:type="dxa"/>
            <w:vAlign w:val="center"/>
          </w:tcPr>
          <w:p w14:paraId="464024D5" w14:textId="7E64C74B" w:rsidR="00FE0D68" w:rsidRPr="00DB5192" w:rsidRDefault="007B00CA" w:rsidP="00993A9C">
            <w:pPr>
              <w:spacing w:line="360" w:lineRule="auto"/>
              <w:jc w:val="right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18285500,00</w:t>
            </w:r>
          </w:p>
        </w:tc>
      </w:tr>
      <w:tr w:rsidR="00FE0D68" w14:paraId="3333F80F" w14:textId="77777777" w:rsidTr="00993A9C">
        <w:trPr>
          <w:trHeight w:val="613"/>
        </w:trPr>
        <w:tc>
          <w:tcPr>
            <w:tcW w:w="1892" w:type="dxa"/>
            <w:vAlign w:val="center"/>
          </w:tcPr>
          <w:p w14:paraId="7CDD9E27" w14:textId="77777777" w:rsidR="00FE0D68" w:rsidRPr="00210995" w:rsidRDefault="00FE0D68" w:rsidP="00993A9C">
            <w:pPr>
              <w:pStyle w:val="Nagwek8"/>
              <w:rPr>
                <w:rFonts w:ascii="Calibri" w:hAnsi="Calibri"/>
                <w:sz w:val="22"/>
                <w:szCs w:val="22"/>
              </w:rPr>
            </w:pPr>
            <w:r w:rsidRPr="00210995">
              <w:rPr>
                <w:rFonts w:ascii="Calibri" w:hAnsi="Calibri"/>
                <w:sz w:val="22"/>
                <w:szCs w:val="22"/>
              </w:rPr>
              <w:t>Wynik finansowy</w:t>
            </w:r>
          </w:p>
        </w:tc>
        <w:tc>
          <w:tcPr>
            <w:tcW w:w="1778" w:type="dxa"/>
            <w:vAlign w:val="center"/>
          </w:tcPr>
          <w:p w14:paraId="5D093A06" w14:textId="00115EF0" w:rsidR="00FE0D68" w:rsidRPr="00210995" w:rsidRDefault="00707893" w:rsidP="00993A9C">
            <w:pPr>
              <w:spacing w:line="360" w:lineRule="auto"/>
              <w:jc w:val="right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523805,10</w:t>
            </w:r>
          </w:p>
        </w:tc>
        <w:tc>
          <w:tcPr>
            <w:tcW w:w="1800" w:type="dxa"/>
            <w:vAlign w:val="center"/>
          </w:tcPr>
          <w:p w14:paraId="4603DBC2" w14:textId="1B12017E" w:rsidR="00FE0D68" w:rsidRPr="00DB5192" w:rsidRDefault="00D7255E" w:rsidP="00993A9C">
            <w:pPr>
              <w:spacing w:line="360" w:lineRule="auto"/>
              <w:jc w:val="right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37180,00</w:t>
            </w:r>
          </w:p>
        </w:tc>
        <w:tc>
          <w:tcPr>
            <w:tcW w:w="1800" w:type="dxa"/>
            <w:vAlign w:val="center"/>
          </w:tcPr>
          <w:p w14:paraId="1D128AAE" w14:textId="20A23812" w:rsidR="00FE0D68" w:rsidRPr="00DB5192" w:rsidRDefault="00033B9F" w:rsidP="00993A9C">
            <w:pPr>
              <w:spacing w:line="360" w:lineRule="auto"/>
              <w:jc w:val="right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44270,00</w:t>
            </w:r>
          </w:p>
        </w:tc>
        <w:tc>
          <w:tcPr>
            <w:tcW w:w="1800" w:type="dxa"/>
            <w:vAlign w:val="center"/>
          </w:tcPr>
          <w:p w14:paraId="6B5EE995" w14:textId="497DB750" w:rsidR="00FE0D68" w:rsidRPr="00DB5192" w:rsidRDefault="007B00CA" w:rsidP="00993A9C">
            <w:pPr>
              <w:spacing w:line="360" w:lineRule="auto"/>
              <w:jc w:val="right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57500,00</w:t>
            </w:r>
          </w:p>
        </w:tc>
      </w:tr>
    </w:tbl>
    <w:p w14:paraId="6BC025E6" w14:textId="77777777" w:rsidR="00FE0D68" w:rsidRDefault="00FE0D68" w:rsidP="00FE0D68">
      <w:pPr>
        <w:widowControl/>
        <w:suppressAutoHyphens w:val="0"/>
        <w:jc w:val="both"/>
        <w:rPr>
          <w:b/>
          <w:szCs w:val="24"/>
        </w:rPr>
      </w:pPr>
    </w:p>
    <w:p w14:paraId="457AC936" w14:textId="77777777" w:rsidR="00FE0D68" w:rsidRDefault="00FE0D68" w:rsidP="00FE0D68">
      <w:pPr>
        <w:rPr>
          <w:b/>
          <w:bCs/>
          <w:sz w:val="28"/>
          <w:szCs w:val="28"/>
        </w:rPr>
      </w:pPr>
      <w:r w:rsidRPr="00803024">
        <w:rPr>
          <w:b/>
          <w:bCs/>
          <w:sz w:val="28"/>
          <w:szCs w:val="28"/>
        </w:rPr>
        <w:t>Analiza przychodów (dynamika)</w:t>
      </w:r>
    </w:p>
    <w:p w14:paraId="128602BF" w14:textId="77777777" w:rsidR="00FE0D68" w:rsidRPr="00803024" w:rsidRDefault="00FE0D68" w:rsidP="00FE0D68">
      <w:pPr>
        <w:rPr>
          <w:sz w:val="28"/>
          <w:szCs w:val="28"/>
        </w:rPr>
      </w:pPr>
    </w:p>
    <w:p w14:paraId="3A2422F8" w14:textId="77777777" w:rsidR="00FE0D68" w:rsidRDefault="00FE0D68" w:rsidP="00FE0D68">
      <w:pPr>
        <w:pStyle w:val="Legenda"/>
        <w:keepNext/>
        <w:rPr>
          <w:b w:val="0"/>
          <w:bCs w:val="0"/>
        </w:rPr>
      </w:pPr>
      <w:r>
        <w:rPr>
          <w:b w:val="0"/>
          <w:bCs w:val="0"/>
        </w:rPr>
        <w:t>Struktura przychodów:</w:t>
      </w:r>
    </w:p>
    <w:p w14:paraId="175E45CF" w14:textId="77777777" w:rsidR="00FE0D68" w:rsidRPr="00F4703C" w:rsidRDefault="00FE0D68" w:rsidP="00FE0D68">
      <w:pPr>
        <w:rPr>
          <w:lang w:eastAsia="pl-PL"/>
        </w:rPr>
      </w:pP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"/>
        <w:gridCol w:w="1297"/>
        <w:gridCol w:w="1308"/>
        <w:gridCol w:w="992"/>
        <w:gridCol w:w="1418"/>
        <w:gridCol w:w="992"/>
        <w:gridCol w:w="1243"/>
        <w:gridCol w:w="1113"/>
      </w:tblGrid>
      <w:tr w:rsidR="00FE0D68" w14:paraId="3F9EC72D" w14:textId="77777777" w:rsidTr="00993A9C">
        <w:tc>
          <w:tcPr>
            <w:tcW w:w="1325" w:type="dxa"/>
            <w:vAlign w:val="center"/>
          </w:tcPr>
          <w:p w14:paraId="16A8D524" w14:textId="77777777" w:rsidR="00FE0D68" w:rsidRPr="002C1A44" w:rsidRDefault="00FE0D68" w:rsidP="00993A9C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97" w:type="dxa"/>
            <w:vAlign w:val="center"/>
          </w:tcPr>
          <w:p w14:paraId="66058FBB" w14:textId="22E36374" w:rsidR="00FE0D68" w:rsidRPr="00294344" w:rsidRDefault="00FE0D68" w:rsidP="00993A9C">
            <w:pPr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>
              <w:rPr>
                <w:rFonts w:ascii="Calibri" w:hAnsi="Calibri" w:cs="Arial"/>
                <w:b/>
                <w:bCs/>
                <w:iCs/>
                <w:sz w:val="20"/>
              </w:rPr>
              <w:t>202</w:t>
            </w:r>
            <w:r w:rsidR="00707893">
              <w:rPr>
                <w:rFonts w:ascii="Calibri" w:hAnsi="Calibri" w:cs="Arial"/>
                <w:b/>
                <w:bCs/>
                <w:iCs/>
                <w:sz w:val="20"/>
              </w:rPr>
              <w:t>3</w:t>
            </w:r>
            <w:r w:rsidRPr="00294344">
              <w:rPr>
                <w:rFonts w:ascii="Calibri" w:hAnsi="Calibri" w:cs="Arial"/>
                <w:b/>
                <w:bCs/>
                <w:iCs/>
                <w:sz w:val="20"/>
              </w:rPr>
              <w:t xml:space="preserve"> r.</w:t>
            </w:r>
            <w:r>
              <w:rPr>
                <w:rFonts w:ascii="Calibri" w:hAnsi="Calibri" w:cs="Arial"/>
                <w:b/>
                <w:bCs/>
                <w:iCs/>
                <w:sz w:val="20"/>
              </w:rPr>
              <w:t xml:space="preserve"> (zł</w:t>
            </w:r>
            <w:r w:rsidRPr="00294344">
              <w:rPr>
                <w:rFonts w:ascii="Calibri" w:hAnsi="Calibri" w:cs="Arial"/>
                <w:b/>
                <w:bCs/>
                <w:iCs/>
                <w:sz w:val="20"/>
              </w:rPr>
              <w:t>)</w:t>
            </w:r>
          </w:p>
        </w:tc>
        <w:tc>
          <w:tcPr>
            <w:tcW w:w="1308" w:type="dxa"/>
            <w:vAlign w:val="center"/>
          </w:tcPr>
          <w:p w14:paraId="7E67E7F9" w14:textId="4EAEFE72" w:rsidR="00FE0D68" w:rsidRDefault="00FE0D68" w:rsidP="00993A9C">
            <w:pPr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>
              <w:rPr>
                <w:rFonts w:ascii="Calibri" w:hAnsi="Calibri" w:cs="Arial"/>
                <w:b/>
                <w:bCs/>
                <w:iCs/>
                <w:sz w:val="20"/>
              </w:rPr>
              <w:t>202</w:t>
            </w:r>
            <w:r w:rsidR="00707893">
              <w:rPr>
                <w:rFonts w:ascii="Calibri" w:hAnsi="Calibri" w:cs="Arial"/>
                <w:b/>
                <w:bCs/>
                <w:iCs/>
                <w:sz w:val="20"/>
              </w:rPr>
              <w:t>4</w:t>
            </w:r>
            <w:r w:rsidRPr="00294344">
              <w:rPr>
                <w:rFonts w:ascii="Calibri" w:hAnsi="Calibri" w:cs="Arial"/>
                <w:b/>
                <w:bCs/>
                <w:iCs/>
                <w:sz w:val="20"/>
              </w:rPr>
              <w:t>r.</w:t>
            </w:r>
            <w:r>
              <w:rPr>
                <w:rFonts w:ascii="Calibri" w:hAnsi="Calibri" w:cs="Arial"/>
                <w:b/>
                <w:bCs/>
                <w:iCs/>
                <w:sz w:val="20"/>
              </w:rPr>
              <w:t xml:space="preserve"> (zł)</w:t>
            </w:r>
          </w:p>
          <w:p w14:paraId="733B4300" w14:textId="4D8BFD15" w:rsidR="00FE0D68" w:rsidRPr="00294344" w:rsidRDefault="00FE0D68" w:rsidP="00993A9C">
            <w:pPr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>
              <w:rPr>
                <w:rFonts w:ascii="Calibri" w:hAnsi="Calibri" w:cs="Arial"/>
                <w:b/>
                <w:bCs/>
                <w:iCs/>
                <w:sz w:val="20"/>
              </w:rPr>
              <w:t>P</w:t>
            </w:r>
            <w:r w:rsidR="00707893">
              <w:rPr>
                <w:rFonts w:ascii="Calibri" w:hAnsi="Calibri" w:cs="Arial"/>
                <w:b/>
                <w:bCs/>
                <w:iCs/>
                <w:sz w:val="20"/>
              </w:rPr>
              <w:t>rognoza</w:t>
            </w:r>
          </w:p>
        </w:tc>
        <w:tc>
          <w:tcPr>
            <w:tcW w:w="992" w:type="dxa"/>
            <w:vAlign w:val="center"/>
          </w:tcPr>
          <w:p w14:paraId="43864778" w14:textId="77777777" w:rsidR="00FE0D68" w:rsidRPr="00294344" w:rsidRDefault="00FE0D68" w:rsidP="00993A9C">
            <w:pPr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 w:rsidRPr="00294344">
              <w:rPr>
                <w:rFonts w:ascii="Calibri" w:hAnsi="Calibri" w:cs="Arial"/>
                <w:b/>
                <w:bCs/>
                <w:iCs/>
                <w:sz w:val="20"/>
              </w:rPr>
              <w:t>Dynamika</w:t>
            </w:r>
          </w:p>
          <w:p w14:paraId="117092CD" w14:textId="7336BDBD" w:rsidR="00FE0D68" w:rsidRPr="00294344" w:rsidRDefault="00FE0D68" w:rsidP="00993A9C">
            <w:pPr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>
              <w:rPr>
                <w:rFonts w:ascii="Calibri" w:hAnsi="Calibri" w:cs="Arial"/>
                <w:b/>
                <w:bCs/>
                <w:iCs/>
                <w:sz w:val="20"/>
              </w:rPr>
              <w:t>202</w:t>
            </w:r>
            <w:r w:rsidR="00707893">
              <w:rPr>
                <w:rFonts w:ascii="Calibri" w:hAnsi="Calibri" w:cs="Arial"/>
                <w:b/>
                <w:bCs/>
                <w:iCs/>
                <w:sz w:val="20"/>
              </w:rPr>
              <w:t>4</w:t>
            </w:r>
            <w:r>
              <w:rPr>
                <w:rFonts w:ascii="Calibri" w:hAnsi="Calibri" w:cs="Arial"/>
                <w:b/>
                <w:bCs/>
                <w:iCs/>
                <w:sz w:val="20"/>
              </w:rPr>
              <w:t>/202</w:t>
            </w:r>
            <w:r w:rsidR="00707893">
              <w:rPr>
                <w:rFonts w:ascii="Calibri" w:hAnsi="Calibri" w:cs="Arial"/>
                <w:b/>
                <w:bCs/>
                <w:iCs/>
                <w:sz w:val="20"/>
              </w:rPr>
              <w:t>3</w:t>
            </w:r>
          </w:p>
          <w:p w14:paraId="26BC6B89" w14:textId="77777777" w:rsidR="00FE0D68" w:rsidRPr="00294344" w:rsidRDefault="00FE0D68" w:rsidP="00993A9C">
            <w:pPr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>
              <w:rPr>
                <w:rFonts w:ascii="Calibri" w:hAnsi="Calibri" w:cs="Arial"/>
                <w:b/>
                <w:bCs/>
                <w:iCs/>
                <w:sz w:val="20"/>
              </w:rPr>
              <w:t>(%</w:t>
            </w:r>
            <w:r w:rsidRPr="00294344">
              <w:rPr>
                <w:rFonts w:ascii="Calibri" w:hAnsi="Calibri" w:cs="Arial"/>
                <w:b/>
                <w:bCs/>
                <w:iCs/>
                <w:sz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25762EED" w14:textId="77777777" w:rsidR="00FE0D68" w:rsidRPr="00294344" w:rsidRDefault="00FE0D68" w:rsidP="00993A9C">
            <w:pPr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</w:p>
          <w:p w14:paraId="41F310DD" w14:textId="7C3F51DB" w:rsidR="00FE0D68" w:rsidRDefault="00FE0D68" w:rsidP="00993A9C">
            <w:pPr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>
              <w:rPr>
                <w:rFonts w:ascii="Calibri" w:hAnsi="Calibri" w:cs="Arial"/>
                <w:b/>
                <w:bCs/>
                <w:iCs/>
                <w:sz w:val="20"/>
              </w:rPr>
              <w:t>202</w:t>
            </w:r>
            <w:r w:rsidR="00707893">
              <w:rPr>
                <w:rFonts w:ascii="Calibri" w:hAnsi="Calibri" w:cs="Arial"/>
                <w:b/>
                <w:bCs/>
                <w:iCs/>
                <w:sz w:val="20"/>
              </w:rPr>
              <w:t>5</w:t>
            </w:r>
            <w:r w:rsidRPr="00294344">
              <w:rPr>
                <w:rFonts w:ascii="Calibri" w:hAnsi="Calibri" w:cs="Arial"/>
                <w:b/>
                <w:bCs/>
                <w:iCs/>
                <w:sz w:val="20"/>
              </w:rPr>
              <w:t xml:space="preserve"> (zł)</w:t>
            </w:r>
          </w:p>
          <w:p w14:paraId="24DAD52A" w14:textId="5E8AB6D5" w:rsidR="00FE0D68" w:rsidRPr="00294344" w:rsidRDefault="00FE0D68" w:rsidP="00993A9C">
            <w:pPr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>
              <w:rPr>
                <w:rFonts w:ascii="Calibri" w:hAnsi="Calibri" w:cs="Arial"/>
                <w:b/>
                <w:bCs/>
                <w:iCs/>
                <w:sz w:val="20"/>
              </w:rPr>
              <w:t>P</w:t>
            </w:r>
            <w:r w:rsidR="00707893">
              <w:rPr>
                <w:rFonts w:ascii="Calibri" w:hAnsi="Calibri" w:cs="Arial"/>
                <w:b/>
                <w:bCs/>
                <w:iCs/>
                <w:sz w:val="20"/>
              </w:rPr>
              <w:t>rognoza</w:t>
            </w:r>
          </w:p>
        </w:tc>
        <w:tc>
          <w:tcPr>
            <w:tcW w:w="992" w:type="dxa"/>
            <w:vAlign w:val="center"/>
          </w:tcPr>
          <w:p w14:paraId="7A306ECA" w14:textId="77777777" w:rsidR="00FE0D68" w:rsidRPr="007B2C4B" w:rsidRDefault="00FE0D68" w:rsidP="00993A9C">
            <w:pPr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>
              <w:rPr>
                <w:rFonts w:ascii="Calibri" w:hAnsi="Calibri" w:cs="Arial"/>
                <w:b/>
                <w:bCs/>
                <w:iCs/>
                <w:sz w:val="20"/>
              </w:rPr>
              <w:t>Dynamik</w:t>
            </w:r>
            <w:r w:rsidRPr="007B2C4B">
              <w:rPr>
                <w:rFonts w:ascii="Calibri" w:hAnsi="Calibri" w:cs="Arial"/>
                <w:b/>
                <w:bCs/>
                <w:iCs/>
                <w:sz w:val="20"/>
              </w:rPr>
              <w:t>a</w:t>
            </w:r>
          </w:p>
          <w:p w14:paraId="2F1746FA" w14:textId="41B58B4F" w:rsidR="00FE0D68" w:rsidRPr="007B2C4B" w:rsidRDefault="00FE0D68" w:rsidP="00993A9C">
            <w:pPr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>
              <w:rPr>
                <w:rFonts w:ascii="Calibri" w:hAnsi="Calibri" w:cs="Arial"/>
                <w:b/>
                <w:bCs/>
                <w:iCs/>
                <w:sz w:val="20"/>
              </w:rPr>
              <w:t>202</w:t>
            </w:r>
            <w:r w:rsidR="00707893">
              <w:rPr>
                <w:rFonts w:ascii="Calibri" w:hAnsi="Calibri" w:cs="Arial"/>
                <w:b/>
                <w:bCs/>
                <w:iCs/>
                <w:sz w:val="20"/>
              </w:rPr>
              <w:t>5</w:t>
            </w:r>
            <w:r>
              <w:rPr>
                <w:rFonts w:ascii="Calibri" w:hAnsi="Calibri" w:cs="Arial"/>
                <w:b/>
                <w:bCs/>
                <w:iCs/>
                <w:sz w:val="20"/>
              </w:rPr>
              <w:t>/ 202</w:t>
            </w:r>
            <w:r w:rsidR="00707893">
              <w:rPr>
                <w:rFonts w:ascii="Calibri" w:hAnsi="Calibri" w:cs="Arial"/>
                <w:b/>
                <w:bCs/>
                <w:iCs/>
                <w:sz w:val="20"/>
              </w:rPr>
              <w:t>4</w:t>
            </w:r>
          </w:p>
          <w:p w14:paraId="2B0AA795" w14:textId="77777777" w:rsidR="00FE0D68" w:rsidRPr="00294344" w:rsidRDefault="00FE0D68" w:rsidP="00993A9C">
            <w:pPr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 w:rsidRPr="007B2C4B">
              <w:rPr>
                <w:rFonts w:ascii="Calibri" w:hAnsi="Calibri" w:cs="Arial"/>
                <w:b/>
                <w:bCs/>
                <w:iCs/>
                <w:sz w:val="20"/>
              </w:rPr>
              <w:t>(%)</w:t>
            </w:r>
          </w:p>
        </w:tc>
        <w:tc>
          <w:tcPr>
            <w:tcW w:w="1243" w:type="dxa"/>
            <w:vAlign w:val="center"/>
          </w:tcPr>
          <w:p w14:paraId="52CBD2E6" w14:textId="6EE18FA4" w:rsidR="00FE0D68" w:rsidRDefault="00FE0D68" w:rsidP="00993A9C">
            <w:pPr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>
              <w:rPr>
                <w:rFonts w:ascii="Calibri" w:hAnsi="Calibri" w:cs="Arial"/>
                <w:b/>
                <w:bCs/>
                <w:iCs/>
                <w:sz w:val="20"/>
              </w:rPr>
              <w:t>202</w:t>
            </w:r>
            <w:r w:rsidR="00707893">
              <w:rPr>
                <w:rFonts w:ascii="Calibri" w:hAnsi="Calibri" w:cs="Arial"/>
                <w:b/>
                <w:bCs/>
                <w:iCs/>
                <w:sz w:val="20"/>
              </w:rPr>
              <w:t>6</w:t>
            </w:r>
            <w:r w:rsidRPr="00294344">
              <w:rPr>
                <w:rFonts w:ascii="Calibri" w:hAnsi="Calibri" w:cs="Arial"/>
                <w:b/>
                <w:bCs/>
                <w:iCs/>
                <w:sz w:val="20"/>
              </w:rPr>
              <w:t>r.</w:t>
            </w:r>
            <w:r>
              <w:rPr>
                <w:rFonts w:ascii="Calibri" w:hAnsi="Calibri" w:cs="Arial"/>
                <w:b/>
                <w:bCs/>
                <w:iCs/>
                <w:sz w:val="20"/>
              </w:rPr>
              <w:t xml:space="preserve"> (zł)</w:t>
            </w:r>
          </w:p>
          <w:p w14:paraId="70669E3D" w14:textId="20616CD2" w:rsidR="00FE0D68" w:rsidRPr="00294344" w:rsidRDefault="00FE0D68" w:rsidP="00993A9C">
            <w:pPr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>
              <w:rPr>
                <w:rFonts w:ascii="Calibri" w:hAnsi="Calibri" w:cs="Arial"/>
                <w:b/>
                <w:bCs/>
                <w:iCs/>
                <w:sz w:val="20"/>
              </w:rPr>
              <w:t>P</w:t>
            </w:r>
            <w:r w:rsidR="00707893">
              <w:rPr>
                <w:rFonts w:ascii="Calibri" w:hAnsi="Calibri" w:cs="Arial"/>
                <w:b/>
                <w:bCs/>
                <w:iCs/>
                <w:sz w:val="20"/>
              </w:rPr>
              <w:t>rognoza</w:t>
            </w:r>
          </w:p>
        </w:tc>
        <w:tc>
          <w:tcPr>
            <w:tcW w:w="1113" w:type="dxa"/>
            <w:vAlign w:val="center"/>
          </w:tcPr>
          <w:p w14:paraId="2BD17E73" w14:textId="77777777" w:rsidR="00FE0D68" w:rsidRPr="00294344" w:rsidRDefault="00FE0D68" w:rsidP="00993A9C">
            <w:pPr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 w:rsidRPr="00294344">
              <w:rPr>
                <w:rFonts w:ascii="Calibri" w:hAnsi="Calibri" w:cs="Arial"/>
                <w:b/>
                <w:bCs/>
                <w:iCs/>
                <w:sz w:val="20"/>
              </w:rPr>
              <w:t>Dynamika</w:t>
            </w:r>
          </w:p>
          <w:p w14:paraId="1EECD806" w14:textId="1AF986F3" w:rsidR="00FE0D68" w:rsidRPr="00294344" w:rsidRDefault="00FE0D68" w:rsidP="00993A9C">
            <w:pPr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>
              <w:rPr>
                <w:rFonts w:ascii="Calibri" w:hAnsi="Calibri" w:cs="Arial"/>
                <w:b/>
                <w:bCs/>
                <w:iCs/>
                <w:sz w:val="20"/>
              </w:rPr>
              <w:t>202</w:t>
            </w:r>
            <w:r w:rsidR="00707893">
              <w:rPr>
                <w:rFonts w:ascii="Calibri" w:hAnsi="Calibri" w:cs="Arial"/>
                <w:b/>
                <w:bCs/>
                <w:iCs/>
                <w:sz w:val="20"/>
              </w:rPr>
              <w:t>6</w:t>
            </w:r>
            <w:r>
              <w:rPr>
                <w:rFonts w:ascii="Calibri" w:hAnsi="Calibri" w:cs="Arial"/>
                <w:b/>
                <w:bCs/>
                <w:iCs/>
                <w:sz w:val="20"/>
              </w:rPr>
              <w:t>/ 202</w:t>
            </w:r>
            <w:r w:rsidR="00707893">
              <w:rPr>
                <w:rFonts w:ascii="Calibri" w:hAnsi="Calibri" w:cs="Arial"/>
                <w:b/>
                <w:bCs/>
                <w:iCs/>
                <w:sz w:val="20"/>
              </w:rPr>
              <w:t>5</w:t>
            </w:r>
          </w:p>
          <w:p w14:paraId="7F281446" w14:textId="77777777" w:rsidR="00FE0D68" w:rsidRPr="00294344" w:rsidRDefault="00FE0D68" w:rsidP="00993A9C">
            <w:pPr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>
              <w:rPr>
                <w:rFonts w:ascii="Calibri" w:hAnsi="Calibri" w:cs="Arial"/>
                <w:b/>
                <w:bCs/>
                <w:iCs/>
                <w:sz w:val="20"/>
              </w:rPr>
              <w:t>(%</w:t>
            </w:r>
            <w:r w:rsidRPr="00294344">
              <w:rPr>
                <w:rFonts w:ascii="Calibri" w:hAnsi="Calibri" w:cs="Arial"/>
                <w:b/>
                <w:bCs/>
                <w:iCs/>
                <w:sz w:val="20"/>
              </w:rPr>
              <w:t>)</w:t>
            </w:r>
          </w:p>
        </w:tc>
      </w:tr>
      <w:tr w:rsidR="00FE0D68" w14:paraId="0E6C84B5" w14:textId="77777777" w:rsidTr="00993A9C">
        <w:tc>
          <w:tcPr>
            <w:tcW w:w="1325" w:type="dxa"/>
            <w:vAlign w:val="center"/>
          </w:tcPr>
          <w:p w14:paraId="494BEC07" w14:textId="77777777" w:rsidR="00FE0D68" w:rsidRPr="00FD70D7" w:rsidRDefault="00FE0D68" w:rsidP="00993A9C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</w:rPr>
            </w:pPr>
            <w:r w:rsidRPr="00FD70D7">
              <w:rPr>
                <w:rFonts w:ascii="Calibri" w:hAnsi="Calibri" w:cs="Arial"/>
                <w:b/>
                <w:bCs/>
                <w:i/>
                <w:iCs/>
                <w:sz w:val="20"/>
              </w:rPr>
              <w:t>1</w:t>
            </w:r>
          </w:p>
        </w:tc>
        <w:tc>
          <w:tcPr>
            <w:tcW w:w="1297" w:type="dxa"/>
            <w:vAlign w:val="center"/>
          </w:tcPr>
          <w:p w14:paraId="00AAAADA" w14:textId="77777777" w:rsidR="00FE0D68" w:rsidRPr="00FD70D7" w:rsidRDefault="00FE0D68" w:rsidP="00993A9C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</w:rPr>
            </w:pPr>
            <w:r w:rsidRPr="00FD70D7">
              <w:rPr>
                <w:rFonts w:ascii="Calibri" w:hAnsi="Calibri" w:cs="Arial"/>
                <w:b/>
                <w:bCs/>
                <w:i/>
                <w:iCs/>
                <w:sz w:val="20"/>
              </w:rPr>
              <w:t>2</w:t>
            </w:r>
          </w:p>
        </w:tc>
        <w:tc>
          <w:tcPr>
            <w:tcW w:w="1308" w:type="dxa"/>
            <w:vAlign w:val="center"/>
          </w:tcPr>
          <w:p w14:paraId="2E692CA9" w14:textId="77777777" w:rsidR="00FE0D68" w:rsidRPr="00FD70D7" w:rsidRDefault="00FE0D68" w:rsidP="00993A9C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</w:rPr>
            </w:pPr>
            <w:r w:rsidRPr="00FD70D7">
              <w:rPr>
                <w:rFonts w:ascii="Calibri" w:hAnsi="Calibri" w:cs="Arial"/>
                <w:b/>
                <w:bCs/>
                <w:i/>
                <w:iCs/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13E32378" w14:textId="77777777" w:rsidR="00FE0D68" w:rsidRPr="00FD70D7" w:rsidRDefault="00FE0D68" w:rsidP="00993A9C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</w:rPr>
            </w:pPr>
            <w:r w:rsidRPr="00FD70D7">
              <w:rPr>
                <w:rFonts w:ascii="Calibri" w:hAnsi="Calibri" w:cs="Arial"/>
                <w:b/>
                <w:bCs/>
                <w:i/>
                <w:iCs/>
                <w:sz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0BD469EF" w14:textId="77777777" w:rsidR="00FE0D68" w:rsidRPr="00FD70D7" w:rsidRDefault="00FE0D68" w:rsidP="00993A9C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</w:rPr>
            </w:pPr>
            <w:r w:rsidRPr="00FD70D7">
              <w:rPr>
                <w:rFonts w:ascii="Calibri" w:hAnsi="Calibri" w:cs="Arial"/>
                <w:b/>
                <w:bCs/>
                <w:i/>
                <w:iCs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6EF09B8C" w14:textId="77777777" w:rsidR="00FE0D68" w:rsidRPr="00FD70D7" w:rsidRDefault="00FE0D68" w:rsidP="00993A9C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</w:rPr>
            </w:pPr>
            <w:r w:rsidRPr="00FD70D7">
              <w:rPr>
                <w:rFonts w:ascii="Calibri" w:hAnsi="Calibri" w:cs="Arial"/>
                <w:b/>
                <w:bCs/>
                <w:i/>
                <w:iCs/>
                <w:sz w:val="20"/>
              </w:rPr>
              <w:t>6</w:t>
            </w:r>
          </w:p>
        </w:tc>
        <w:tc>
          <w:tcPr>
            <w:tcW w:w="1243" w:type="dxa"/>
            <w:vAlign w:val="center"/>
          </w:tcPr>
          <w:p w14:paraId="1F8C4861" w14:textId="77777777" w:rsidR="00FE0D68" w:rsidRPr="00FD70D7" w:rsidRDefault="00FE0D68" w:rsidP="00993A9C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</w:rPr>
            </w:pPr>
            <w:r w:rsidRPr="00FD70D7">
              <w:rPr>
                <w:rFonts w:ascii="Calibri" w:hAnsi="Calibri" w:cs="Arial"/>
                <w:b/>
                <w:bCs/>
                <w:i/>
                <w:iCs/>
                <w:sz w:val="20"/>
              </w:rPr>
              <w:t>7</w:t>
            </w:r>
          </w:p>
        </w:tc>
        <w:tc>
          <w:tcPr>
            <w:tcW w:w="1113" w:type="dxa"/>
            <w:vAlign w:val="center"/>
          </w:tcPr>
          <w:p w14:paraId="63C16C81" w14:textId="77777777" w:rsidR="00FE0D68" w:rsidRPr="00FD70D7" w:rsidRDefault="00FE0D68" w:rsidP="00993A9C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sz w:val="20"/>
              </w:rPr>
              <w:t>8</w:t>
            </w:r>
          </w:p>
        </w:tc>
      </w:tr>
      <w:tr w:rsidR="00FE0D68" w:rsidRPr="00945B9D" w14:paraId="64137788" w14:textId="77777777" w:rsidTr="00993A9C">
        <w:tc>
          <w:tcPr>
            <w:tcW w:w="1325" w:type="dxa"/>
            <w:vAlign w:val="center"/>
          </w:tcPr>
          <w:p w14:paraId="742BC02F" w14:textId="77777777" w:rsidR="00FE0D68" w:rsidRPr="00945B9D" w:rsidRDefault="00FE0D68" w:rsidP="00993A9C">
            <w:pPr>
              <w:rPr>
                <w:rFonts w:ascii="Calibri" w:hAnsi="Calibri" w:cs="Arial"/>
                <w:szCs w:val="22"/>
              </w:rPr>
            </w:pPr>
            <w:r w:rsidRPr="00945B9D">
              <w:rPr>
                <w:rFonts w:ascii="Calibri" w:hAnsi="Calibri" w:cs="Arial"/>
                <w:sz w:val="22"/>
                <w:szCs w:val="22"/>
              </w:rPr>
              <w:t>Przychody ze sprzedaży usług</w:t>
            </w:r>
          </w:p>
        </w:tc>
        <w:tc>
          <w:tcPr>
            <w:tcW w:w="1297" w:type="dxa"/>
            <w:vAlign w:val="center"/>
          </w:tcPr>
          <w:p w14:paraId="4D78C043" w14:textId="0C71F2DF" w:rsidR="00FE0D68" w:rsidRPr="00945B9D" w:rsidRDefault="00707893" w:rsidP="00993A9C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14380 571,80</w:t>
            </w:r>
          </w:p>
        </w:tc>
        <w:tc>
          <w:tcPr>
            <w:tcW w:w="1308" w:type="dxa"/>
            <w:vAlign w:val="center"/>
          </w:tcPr>
          <w:p w14:paraId="2C74A77A" w14:textId="71A5FDF2" w:rsidR="00FE0D68" w:rsidRPr="00945B9D" w:rsidRDefault="00D7255E" w:rsidP="00993A9C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14873370,00</w:t>
            </w:r>
          </w:p>
        </w:tc>
        <w:tc>
          <w:tcPr>
            <w:tcW w:w="992" w:type="dxa"/>
            <w:vAlign w:val="center"/>
          </w:tcPr>
          <w:p w14:paraId="1249C4B2" w14:textId="52CB2CC3" w:rsidR="00FE0D68" w:rsidRPr="00945B9D" w:rsidRDefault="00D7255E" w:rsidP="00993A9C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103,42</w:t>
            </w:r>
          </w:p>
        </w:tc>
        <w:tc>
          <w:tcPr>
            <w:tcW w:w="1418" w:type="dxa"/>
            <w:vAlign w:val="center"/>
          </w:tcPr>
          <w:p w14:paraId="330B9E2E" w14:textId="339A13EE" w:rsidR="00FE0D68" w:rsidRPr="00945B9D" w:rsidRDefault="00033B9F" w:rsidP="00993A9C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16965000,00</w:t>
            </w:r>
          </w:p>
        </w:tc>
        <w:tc>
          <w:tcPr>
            <w:tcW w:w="992" w:type="dxa"/>
            <w:vAlign w:val="center"/>
          </w:tcPr>
          <w:p w14:paraId="5FC0296B" w14:textId="3C59B371" w:rsidR="00FE0D68" w:rsidRPr="00945B9D" w:rsidRDefault="00C1784F" w:rsidP="00993A9C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114,06</w:t>
            </w:r>
          </w:p>
        </w:tc>
        <w:tc>
          <w:tcPr>
            <w:tcW w:w="1243" w:type="dxa"/>
            <w:vAlign w:val="center"/>
          </w:tcPr>
          <w:p w14:paraId="6A01DE7C" w14:textId="173F6EB0" w:rsidR="00FE0D68" w:rsidRPr="00945B9D" w:rsidRDefault="007B00CA" w:rsidP="00993A9C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17250000,00</w:t>
            </w:r>
          </w:p>
        </w:tc>
        <w:tc>
          <w:tcPr>
            <w:tcW w:w="1113" w:type="dxa"/>
            <w:vAlign w:val="center"/>
          </w:tcPr>
          <w:p w14:paraId="64C13B79" w14:textId="4CCA83B2" w:rsidR="00FE0D68" w:rsidRPr="00945B9D" w:rsidRDefault="007B00CA" w:rsidP="00993A9C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101,68</w:t>
            </w:r>
          </w:p>
        </w:tc>
      </w:tr>
      <w:tr w:rsidR="00FE0D68" w:rsidRPr="00945B9D" w14:paraId="7EBC7190" w14:textId="77777777" w:rsidTr="00993A9C">
        <w:tc>
          <w:tcPr>
            <w:tcW w:w="1325" w:type="dxa"/>
            <w:vAlign w:val="center"/>
          </w:tcPr>
          <w:p w14:paraId="59DD8FCB" w14:textId="77777777" w:rsidR="00FE0D68" w:rsidRPr="00945B9D" w:rsidRDefault="00FE0D68" w:rsidP="00993A9C">
            <w:pPr>
              <w:rPr>
                <w:rFonts w:ascii="Calibri" w:hAnsi="Calibri" w:cs="Arial"/>
                <w:szCs w:val="22"/>
              </w:rPr>
            </w:pPr>
            <w:r w:rsidRPr="00945B9D">
              <w:rPr>
                <w:rFonts w:ascii="Calibri" w:hAnsi="Calibri" w:cs="Arial"/>
                <w:sz w:val="22"/>
                <w:szCs w:val="22"/>
              </w:rPr>
              <w:t>Pozostałe przychody operacyjne</w:t>
            </w:r>
          </w:p>
        </w:tc>
        <w:tc>
          <w:tcPr>
            <w:tcW w:w="1297" w:type="dxa"/>
            <w:vAlign w:val="center"/>
          </w:tcPr>
          <w:p w14:paraId="23E25476" w14:textId="185743EA" w:rsidR="00FE0D68" w:rsidRPr="00945B9D" w:rsidRDefault="00707893" w:rsidP="00993A9C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1562819,70</w:t>
            </w:r>
          </w:p>
        </w:tc>
        <w:tc>
          <w:tcPr>
            <w:tcW w:w="1308" w:type="dxa"/>
            <w:vAlign w:val="center"/>
          </w:tcPr>
          <w:p w14:paraId="3CCEF40E" w14:textId="1535855C" w:rsidR="00FE0D68" w:rsidRPr="00945B9D" w:rsidRDefault="00D7255E" w:rsidP="00993A9C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1629098,80</w:t>
            </w:r>
          </w:p>
        </w:tc>
        <w:tc>
          <w:tcPr>
            <w:tcW w:w="992" w:type="dxa"/>
            <w:vAlign w:val="center"/>
          </w:tcPr>
          <w:p w14:paraId="6A7597F9" w14:textId="2E053970" w:rsidR="00FE0D68" w:rsidRPr="00945B9D" w:rsidRDefault="00D7255E" w:rsidP="00993A9C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104,24</w:t>
            </w:r>
          </w:p>
        </w:tc>
        <w:tc>
          <w:tcPr>
            <w:tcW w:w="1418" w:type="dxa"/>
            <w:vAlign w:val="center"/>
          </w:tcPr>
          <w:p w14:paraId="3C5411F6" w14:textId="72A158F8" w:rsidR="00FE0D68" w:rsidRPr="00945B9D" w:rsidRDefault="00033B9F" w:rsidP="00993A9C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1 000 000,00</w:t>
            </w:r>
          </w:p>
        </w:tc>
        <w:tc>
          <w:tcPr>
            <w:tcW w:w="992" w:type="dxa"/>
            <w:vAlign w:val="center"/>
          </w:tcPr>
          <w:p w14:paraId="0041D06E" w14:textId="02247269" w:rsidR="00FE0D68" w:rsidRPr="00945B9D" w:rsidRDefault="00C1784F" w:rsidP="00993A9C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61,38</w:t>
            </w:r>
          </w:p>
        </w:tc>
        <w:tc>
          <w:tcPr>
            <w:tcW w:w="1243" w:type="dxa"/>
            <w:vAlign w:val="center"/>
          </w:tcPr>
          <w:p w14:paraId="77E5B911" w14:textId="1482230A" w:rsidR="00FE0D68" w:rsidRPr="00945B9D" w:rsidRDefault="007B00CA" w:rsidP="00993A9C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1090000,00</w:t>
            </w:r>
          </w:p>
        </w:tc>
        <w:tc>
          <w:tcPr>
            <w:tcW w:w="1113" w:type="dxa"/>
            <w:vAlign w:val="center"/>
          </w:tcPr>
          <w:p w14:paraId="42F9A85B" w14:textId="424E69AC" w:rsidR="00FE0D68" w:rsidRPr="00945B9D" w:rsidRDefault="007B00CA" w:rsidP="00993A9C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109,00</w:t>
            </w:r>
          </w:p>
        </w:tc>
      </w:tr>
      <w:tr w:rsidR="00FE0D68" w:rsidRPr="00945B9D" w14:paraId="73F1C1D3" w14:textId="77777777" w:rsidTr="00993A9C">
        <w:tc>
          <w:tcPr>
            <w:tcW w:w="1325" w:type="dxa"/>
            <w:vAlign w:val="center"/>
          </w:tcPr>
          <w:p w14:paraId="1E5D9E98" w14:textId="77777777" w:rsidR="00FE0D68" w:rsidRPr="00945B9D" w:rsidRDefault="00FE0D68" w:rsidP="00993A9C">
            <w:pPr>
              <w:rPr>
                <w:rFonts w:ascii="Calibri" w:hAnsi="Calibri" w:cs="Arial"/>
                <w:szCs w:val="22"/>
              </w:rPr>
            </w:pPr>
            <w:r w:rsidRPr="00945B9D">
              <w:rPr>
                <w:rFonts w:ascii="Calibri" w:hAnsi="Calibri" w:cs="Arial"/>
                <w:sz w:val="22"/>
                <w:szCs w:val="22"/>
              </w:rPr>
              <w:t>Przychody finansowe</w:t>
            </w:r>
          </w:p>
        </w:tc>
        <w:tc>
          <w:tcPr>
            <w:tcW w:w="1297" w:type="dxa"/>
            <w:vAlign w:val="center"/>
          </w:tcPr>
          <w:p w14:paraId="0899FBAC" w14:textId="2B08C9BD" w:rsidR="00FE0D68" w:rsidRPr="00945B9D" w:rsidRDefault="00707893" w:rsidP="00993A9C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2623,79</w:t>
            </w:r>
          </w:p>
        </w:tc>
        <w:tc>
          <w:tcPr>
            <w:tcW w:w="1308" w:type="dxa"/>
            <w:vAlign w:val="center"/>
          </w:tcPr>
          <w:p w14:paraId="1658AFC8" w14:textId="2B6FCC83" w:rsidR="00FE0D68" w:rsidRPr="00945B9D" w:rsidRDefault="00D7255E" w:rsidP="00993A9C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2100,00</w:t>
            </w:r>
          </w:p>
        </w:tc>
        <w:tc>
          <w:tcPr>
            <w:tcW w:w="992" w:type="dxa"/>
            <w:vAlign w:val="center"/>
          </w:tcPr>
          <w:p w14:paraId="635C4B45" w14:textId="392EAEF7" w:rsidR="00FE0D68" w:rsidRPr="00945B9D" w:rsidRDefault="00D7255E" w:rsidP="00993A9C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80,03</w:t>
            </w:r>
          </w:p>
        </w:tc>
        <w:tc>
          <w:tcPr>
            <w:tcW w:w="1418" w:type="dxa"/>
            <w:vAlign w:val="center"/>
          </w:tcPr>
          <w:p w14:paraId="66C07812" w14:textId="5EA5B90B" w:rsidR="00FE0D68" w:rsidRPr="00945B9D" w:rsidRDefault="00033B9F" w:rsidP="00993A9C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2500,00</w:t>
            </w:r>
          </w:p>
        </w:tc>
        <w:tc>
          <w:tcPr>
            <w:tcW w:w="992" w:type="dxa"/>
            <w:vAlign w:val="center"/>
          </w:tcPr>
          <w:p w14:paraId="00CB3ADC" w14:textId="5957B474" w:rsidR="00FE0D68" w:rsidRPr="00945B9D" w:rsidRDefault="00C1784F" w:rsidP="00993A9C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119,05</w:t>
            </w:r>
          </w:p>
        </w:tc>
        <w:tc>
          <w:tcPr>
            <w:tcW w:w="1243" w:type="dxa"/>
            <w:vAlign w:val="center"/>
          </w:tcPr>
          <w:p w14:paraId="0F9DC81E" w14:textId="33AE6167" w:rsidR="00FE0D68" w:rsidRPr="00945B9D" w:rsidRDefault="007B00CA" w:rsidP="00993A9C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3000,00</w:t>
            </w:r>
          </w:p>
        </w:tc>
        <w:tc>
          <w:tcPr>
            <w:tcW w:w="1113" w:type="dxa"/>
            <w:vAlign w:val="center"/>
          </w:tcPr>
          <w:p w14:paraId="3312D13C" w14:textId="2351B16A" w:rsidR="00FE0D68" w:rsidRPr="00945B9D" w:rsidRDefault="007B00CA" w:rsidP="00993A9C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120,00</w:t>
            </w:r>
          </w:p>
        </w:tc>
      </w:tr>
      <w:tr w:rsidR="00FE0D68" w:rsidRPr="00945B9D" w14:paraId="2342BAD9" w14:textId="77777777" w:rsidTr="00993A9C">
        <w:tc>
          <w:tcPr>
            <w:tcW w:w="1325" w:type="dxa"/>
            <w:vAlign w:val="center"/>
          </w:tcPr>
          <w:p w14:paraId="1CA5A7BD" w14:textId="77777777" w:rsidR="00FE0D68" w:rsidRPr="00945B9D" w:rsidRDefault="00FE0D68" w:rsidP="00993A9C">
            <w:pPr>
              <w:rPr>
                <w:rFonts w:ascii="Calibri" w:hAnsi="Calibri" w:cs="Arial"/>
                <w:b/>
                <w:szCs w:val="22"/>
              </w:rPr>
            </w:pPr>
            <w:r w:rsidRPr="00945B9D">
              <w:rPr>
                <w:rFonts w:ascii="Calibri" w:hAnsi="Calibri" w:cs="Arial"/>
                <w:b/>
                <w:sz w:val="22"/>
                <w:szCs w:val="22"/>
              </w:rPr>
              <w:t>Przychody razem</w:t>
            </w:r>
          </w:p>
        </w:tc>
        <w:tc>
          <w:tcPr>
            <w:tcW w:w="1297" w:type="dxa"/>
            <w:vAlign w:val="center"/>
          </w:tcPr>
          <w:p w14:paraId="1A20C512" w14:textId="26025519" w:rsidR="00FE0D68" w:rsidRPr="00945B9D" w:rsidRDefault="00707893" w:rsidP="00993A9C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15946015,29</w:t>
            </w:r>
          </w:p>
        </w:tc>
        <w:tc>
          <w:tcPr>
            <w:tcW w:w="1308" w:type="dxa"/>
            <w:vAlign w:val="center"/>
          </w:tcPr>
          <w:p w14:paraId="7634FAFC" w14:textId="163BA390" w:rsidR="00FE0D68" w:rsidRPr="00945B9D" w:rsidRDefault="00D7255E" w:rsidP="00993A9C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16504568,80</w:t>
            </w:r>
          </w:p>
        </w:tc>
        <w:tc>
          <w:tcPr>
            <w:tcW w:w="992" w:type="dxa"/>
            <w:vAlign w:val="center"/>
          </w:tcPr>
          <w:p w14:paraId="698D7F45" w14:textId="4506953A" w:rsidR="00FE0D68" w:rsidRPr="00945B9D" w:rsidRDefault="00D7255E" w:rsidP="00993A9C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103,5</w:t>
            </w:r>
          </w:p>
        </w:tc>
        <w:tc>
          <w:tcPr>
            <w:tcW w:w="1418" w:type="dxa"/>
            <w:vAlign w:val="center"/>
          </w:tcPr>
          <w:p w14:paraId="74585F4B" w14:textId="287B1353" w:rsidR="00FE0D68" w:rsidRPr="00945B9D" w:rsidRDefault="00033B9F" w:rsidP="00993A9C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17967500,00</w:t>
            </w:r>
          </w:p>
        </w:tc>
        <w:tc>
          <w:tcPr>
            <w:tcW w:w="992" w:type="dxa"/>
            <w:vAlign w:val="center"/>
          </w:tcPr>
          <w:p w14:paraId="7D4CA94B" w14:textId="140211BB" w:rsidR="00FE0D68" w:rsidRPr="00945B9D" w:rsidRDefault="00C1784F" w:rsidP="00993A9C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108,86</w:t>
            </w:r>
          </w:p>
        </w:tc>
        <w:tc>
          <w:tcPr>
            <w:tcW w:w="1243" w:type="dxa"/>
            <w:vAlign w:val="center"/>
          </w:tcPr>
          <w:p w14:paraId="01079591" w14:textId="485E343C" w:rsidR="00FE0D68" w:rsidRPr="00945B9D" w:rsidRDefault="007B00CA" w:rsidP="00993A9C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szCs w:val="24"/>
              </w:rPr>
              <w:t>18343000,00</w:t>
            </w:r>
          </w:p>
        </w:tc>
        <w:tc>
          <w:tcPr>
            <w:tcW w:w="1113" w:type="dxa"/>
            <w:vAlign w:val="center"/>
          </w:tcPr>
          <w:p w14:paraId="1B017DC5" w14:textId="27360258" w:rsidR="00FE0D68" w:rsidRPr="00945B9D" w:rsidRDefault="007B00CA" w:rsidP="00993A9C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102,09</w:t>
            </w:r>
          </w:p>
        </w:tc>
      </w:tr>
    </w:tbl>
    <w:p w14:paraId="46C1C124" w14:textId="6E572BFC" w:rsidR="00BC68A0" w:rsidRPr="00494701" w:rsidRDefault="00BC68A0" w:rsidP="00494701">
      <w:pPr>
        <w:pStyle w:val="Tytu"/>
        <w:spacing w:line="360" w:lineRule="auto"/>
        <w:jc w:val="both"/>
        <w:rPr>
          <w:bCs w:val="0"/>
        </w:rPr>
      </w:pPr>
      <w:r w:rsidRPr="00494701">
        <w:rPr>
          <w:bCs w:val="0"/>
        </w:rPr>
        <w:br w:type="page"/>
      </w:r>
    </w:p>
    <w:p w14:paraId="7F74DF65" w14:textId="77777777" w:rsidR="00F4703C" w:rsidRPr="00945B9D" w:rsidRDefault="00F4703C">
      <w:pPr>
        <w:widowControl/>
        <w:suppressAutoHyphens w:val="0"/>
        <w:jc w:val="both"/>
        <w:rPr>
          <w:b/>
          <w:szCs w:val="24"/>
        </w:rPr>
      </w:pPr>
    </w:p>
    <w:p w14:paraId="41AB1569" w14:textId="77777777" w:rsidR="00F4703C" w:rsidRPr="00803024" w:rsidRDefault="009C1428" w:rsidP="009C1428">
      <w:pPr>
        <w:spacing w:line="360" w:lineRule="auto"/>
        <w:rPr>
          <w:b/>
          <w:bCs/>
          <w:sz w:val="28"/>
          <w:szCs w:val="28"/>
        </w:rPr>
      </w:pPr>
      <w:r w:rsidRPr="00803024">
        <w:rPr>
          <w:b/>
          <w:bCs/>
          <w:sz w:val="28"/>
          <w:szCs w:val="28"/>
        </w:rPr>
        <w:t>Analiza kosztów działalności (dynamika)</w:t>
      </w:r>
    </w:p>
    <w:p w14:paraId="5B613063" w14:textId="77777777" w:rsidR="009C1428" w:rsidRDefault="009C1428" w:rsidP="009C1428">
      <w:pPr>
        <w:pStyle w:val="Legenda"/>
        <w:keepNext/>
        <w:rPr>
          <w:b w:val="0"/>
          <w:bCs w:val="0"/>
        </w:rPr>
      </w:pPr>
      <w:r>
        <w:rPr>
          <w:b w:val="0"/>
          <w:bCs w:val="0"/>
        </w:rPr>
        <w:t xml:space="preserve">Struktura </w:t>
      </w:r>
      <w:r>
        <w:rPr>
          <w:b w:val="0"/>
          <w:bCs w:val="0"/>
          <w:noProof/>
        </w:rPr>
        <w:t xml:space="preserve"> kosztów:</w:t>
      </w: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4"/>
        <w:gridCol w:w="1440"/>
        <w:gridCol w:w="1417"/>
        <w:gridCol w:w="923"/>
        <w:gridCol w:w="1345"/>
        <w:gridCol w:w="851"/>
        <w:gridCol w:w="1417"/>
        <w:gridCol w:w="887"/>
      </w:tblGrid>
      <w:tr w:rsidR="009C1428" w14:paraId="0473190C" w14:textId="77777777" w:rsidTr="00C11D69">
        <w:tc>
          <w:tcPr>
            <w:tcW w:w="1324" w:type="dxa"/>
            <w:vAlign w:val="center"/>
          </w:tcPr>
          <w:p w14:paraId="3A8A3E9A" w14:textId="77777777" w:rsidR="009C1428" w:rsidRPr="00294344" w:rsidRDefault="009C1428" w:rsidP="007E0A25">
            <w:pPr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64905E5A" w14:textId="1CD84E38" w:rsidR="009C1428" w:rsidRPr="00294344" w:rsidRDefault="005B548B" w:rsidP="007E0A25">
            <w:pPr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>
              <w:rPr>
                <w:rFonts w:ascii="Calibri" w:hAnsi="Calibri" w:cs="Arial"/>
                <w:b/>
                <w:bCs/>
                <w:iCs/>
                <w:sz w:val="20"/>
              </w:rPr>
              <w:t>20</w:t>
            </w:r>
            <w:r w:rsidR="000705DB">
              <w:rPr>
                <w:rFonts w:ascii="Calibri" w:hAnsi="Calibri" w:cs="Arial"/>
                <w:b/>
                <w:bCs/>
                <w:iCs/>
                <w:sz w:val="20"/>
              </w:rPr>
              <w:t>2</w:t>
            </w:r>
            <w:r w:rsidR="00707893">
              <w:rPr>
                <w:rFonts w:ascii="Calibri" w:hAnsi="Calibri" w:cs="Arial"/>
                <w:b/>
                <w:bCs/>
                <w:iCs/>
                <w:sz w:val="20"/>
              </w:rPr>
              <w:t>3</w:t>
            </w:r>
            <w:r w:rsidR="009C1428">
              <w:rPr>
                <w:rFonts w:ascii="Calibri" w:hAnsi="Calibri" w:cs="Arial"/>
                <w:b/>
                <w:bCs/>
                <w:iCs/>
                <w:sz w:val="20"/>
              </w:rPr>
              <w:t>r. (zł</w:t>
            </w:r>
            <w:r w:rsidR="009C1428" w:rsidRPr="00294344">
              <w:rPr>
                <w:rFonts w:ascii="Calibri" w:hAnsi="Calibri" w:cs="Arial"/>
                <w:b/>
                <w:bCs/>
                <w:iCs/>
                <w:sz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11809CAF" w14:textId="2198CA30" w:rsidR="009C1428" w:rsidRDefault="005B548B" w:rsidP="007E0A25">
            <w:pPr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>
              <w:rPr>
                <w:rFonts w:ascii="Calibri" w:hAnsi="Calibri" w:cs="Arial"/>
                <w:b/>
                <w:bCs/>
                <w:iCs/>
                <w:sz w:val="20"/>
              </w:rPr>
              <w:t>20</w:t>
            </w:r>
            <w:r w:rsidR="00120C9C">
              <w:rPr>
                <w:rFonts w:ascii="Calibri" w:hAnsi="Calibri" w:cs="Arial"/>
                <w:b/>
                <w:bCs/>
                <w:iCs/>
                <w:sz w:val="20"/>
              </w:rPr>
              <w:t>2</w:t>
            </w:r>
            <w:r w:rsidR="00707893">
              <w:rPr>
                <w:rFonts w:ascii="Calibri" w:hAnsi="Calibri" w:cs="Arial"/>
                <w:b/>
                <w:bCs/>
                <w:iCs/>
                <w:sz w:val="20"/>
              </w:rPr>
              <w:t>4</w:t>
            </w:r>
            <w:r w:rsidR="009C1428" w:rsidRPr="00294344">
              <w:rPr>
                <w:rFonts w:ascii="Calibri" w:hAnsi="Calibri" w:cs="Arial"/>
                <w:b/>
                <w:bCs/>
                <w:iCs/>
                <w:sz w:val="20"/>
              </w:rPr>
              <w:t>r.</w:t>
            </w:r>
            <w:r w:rsidR="009C1428">
              <w:rPr>
                <w:rFonts w:ascii="Calibri" w:hAnsi="Calibri" w:cs="Arial"/>
                <w:b/>
                <w:bCs/>
                <w:iCs/>
                <w:sz w:val="20"/>
              </w:rPr>
              <w:t xml:space="preserve"> </w:t>
            </w:r>
            <w:r w:rsidR="009C1428" w:rsidRPr="00294344">
              <w:rPr>
                <w:rFonts w:ascii="Calibri" w:hAnsi="Calibri" w:cs="Arial"/>
                <w:b/>
                <w:bCs/>
                <w:iCs/>
                <w:sz w:val="20"/>
              </w:rPr>
              <w:t>(zł)</w:t>
            </w:r>
          </w:p>
          <w:p w14:paraId="0E078DF7" w14:textId="68AD07E7" w:rsidR="00C42A39" w:rsidRPr="00294344" w:rsidRDefault="00C42A39" w:rsidP="007E0A25">
            <w:pPr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>
              <w:rPr>
                <w:rFonts w:ascii="Calibri" w:hAnsi="Calibri" w:cs="Arial"/>
                <w:b/>
                <w:bCs/>
                <w:iCs/>
                <w:sz w:val="20"/>
              </w:rPr>
              <w:t>P</w:t>
            </w:r>
            <w:r w:rsidR="00707893">
              <w:rPr>
                <w:rFonts w:ascii="Calibri" w:hAnsi="Calibri" w:cs="Arial"/>
                <w:b/>
                <w:bCs/>
                <w:iCs/>
                <w:sz w:val="20"/>
              </w:rPr>
              <w:t>rognoza</w:t>
            </w:r>
          </w:p>
        </w:tc>
        <w:tc>
          <w:tcPr>
            <w:tcW w:w="923" w:type="dxa"/>
            <w:vAlign w:val="center"/>
          </w:tcPr>
          <w:p w14:paraId="52DDEC89" w14:textId="77777777" w:rsidR="009C1428" w:rsidRPr="00294344" w:rsidRDefault="009C1428" w:rsidP="007E0A25">
            <w:pPr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 w:rsidRPr="00294344">
              <w:rPr>
                <w:rFonts w:ascii="Calibri" w:hAnsi="Calibri" w:cs="Arial"/>
                <w:b/>
                <w:bCs/>
                <w:iCs/>
                <w:sz w:val="20"/>
              </w:rPr>
              <w:t>Dynamika</w:t>
            </w:r>
          </w:p>
          <w:p w14:paraId="26C81944" w14:textId="24B07EC6" w:rsidR="009C1428" w:rsidRPr="00294344" w:rsidRDefault="005B548B" w:rsidP="007E0A25">
            <w:pPr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>
              <w:rPr>
                <w:rFonts w:ascii="Calibri" w:hAnsi="Calibri" w:cs="Arial"/>
                <w:b/>
                <w:bCs/>
                <w:iCs/>
                <w:sz w:val="20"/>
              </w:rPr>
              <w:t>20</w:t>
            </w:r>
            <w:r w:rsidR="00120C9C">
              <w:rPr>
                <w:rFonts w:ascii="Calibri" w:hAnsi="Calibri" w:cs="Arial"/>
                <w:b/>
                <w:bCs/>
                <w:iCs/>
                <w:sz w:val="20"/>
              </w:rPr>
              <w:t>2</w:t>
            </w:r>
            <w:r w:rsidR="00707893">
              <w:rPr>
                <w:rFonts w:ascii="Calibri" w:hAnsi="Calibri" w:cs="Arial"/>
                <w:b/>
                <w:bCs/>
                <w:iCs/>
                <w:sz w:val="20"/>
              </w:rPr>
              <w:t>4</w:t>
            </w:r>
            <w:r>
              <w:rPr>
                <w:rFonts w:ascii="Calibri" w:hAnsi="Calibri" w:cs="Arial"/>
                <w:b/>
                <w:bCs/>
                <w:iCs/>
                <w:sz w:val="20"/>
              </w:rPr>
              <w:t>/20</w:t>
            </w:r>
            <w:r w:rsidR="000705DB">
              <w:rPr>
                <w:rFonts w:ascii="Calibri" w:hAnsi="Calibri" w:cs="Arial"/>
                <w:b/>
                <w:bCs/>
                <w:iCs/>
                <w:sz w:val="20"/>
              </w:rPr>
              <w:t>2</w:t>
            </w:r>
            <w:r w:rsidR="00707893">
              <w:rPr>
                <w:rFonts w:ascii="Calibri" w:hAnsi="Calibri" w:cs="Arial"/>
                <w:b/>
                <w:bCs/>
                <w:iCs/>
                <w:sz w:val="20"/>
              </w:rPr>
              <w:t>3</w:t>
            </w:r>
          </w:p>
          <w:p w14:paraId="657E02D8" w14:textId="77777777" w:rsidR="009C1428" w:rsidRPr="00294344" w:rsidRDefault="009C1428" w:rsidP="007E0A25">
            <w:pPr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 w:rsidRPr="00294344">
              <w:rPr>
                <w:rFonts w:ascii="Calibri" w:hAnsi="Calibri" w:cs="Arial"/>
                <w:b/>
                <w:bCs/>
                <w:iCs/>
                <w:sz w:val="20"/>
              </w:rPr>
              <w:t>(</w:t>
            </w:r>
            <w:r>
              <w:rPr>
                <w:rFonts w:ascii="Calibri" w:hAnsi="Calibri" w:cs="Arial"/>
                <w:b/>
                <w:bCs/>
                <w:iCs/>
                <w:sz w:val="20"/>
              </w:rPr>
              <w:t>%</w:t>
            </w:r>
            <w:r w:rsidRPr="00294344">
              <w:rPr>
                <w:rFonts w:ascii="Calibri" w:hAnsi="Calibri" w:cs="Arial"/>
                <w:b/>
                <w:bCs/>
                <w:iCs/>
                <w:sz w:val="20"/>
              </w:rPr>
              <w:t>)</w:t>
            </w:r>
          </w:p>
        </w:tc>
        <w:tc>
          <w:tcPr>
            <w:tcW w:w="1345" w:type="dxa"/>
            <w:vAlign w:val="center"/>
          </w:tcPr>
          <w:p w14:paraId="2E3FFAB3" w14:textId="77777777" w:rsidR="009C1428" w:rsidRPr="00294344" w:rsidRDefault="009C1428" w:rsidP="007E0A25">
            <w:pPr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</w:p>
          <w:p w14:paraId="678183E2" w14:textId="656CA7D3" w:rsidR="009C1428" w:rsidRDefault="005B548B" w:rsidP="007E0A25">
            <w:pPr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>
              <w:rPr>
                <w:rFonts w:ascii="Calibri" w:hAnsi="Calibri" w:cs="Arial"/>
                <w:b/>
                <w:bCs/>
                <w:iCs/>
                <w:sz w:val="20"/>
              </w:rPr>
              <w:t>202</w:t>
            </w:r>
            <w:r w:rsidR="00707893">
              <w:rPr>
                <w:rFonts w:ascii="Calibri" w:hAnsi="Calibri" w:cs="Arial"/>
                <w:b/>
                <w:bCs/>
                <w:iCs/>
                <w:sz w:val="20"/>
              </w:rPr>
              <w:t>5</w:t>
            </w:r>
            <w:r w:rsidR="009C1428">
              <w:rPr>
                <w:rFonts w:ascii="Calibri" w:hAnsi="Calibri" w:cs="Arial"/>
                <w:b/>
                <w:bCs/>
                <w:iCs/>
                <w:sz w:val="20"/>
              </w:rPr>
              <w:t xml:space="preserve"> r.</w:t>
            </w:r>
            <w:r w:rsidR="009C1428" w:rsidRPr="00294344">
              <w:rPr>
                <w:rFonts w:ascii="Calibri" w:hAnsi="Calibri" w:cs="Arial"/>
                <w:b/>
                <w:bCs/>
                <w:iCs/>
                <w:sz w:val="20"/>
              </w:rPr>
              <w:t xml:space="preserve"> (zł)</w:t>
            </w:r>
          </w:p>
          <w:p w14:paraId="6EAD73A7" w14:textId="2EBEA314" w:rsidR="00C42A39" w:rsidRPr="00294344" w:rsidRDefault="00C42A39" w:rsidP="007E0A25">
            <w:pPr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>
              <w:rPr>
                <w:rFonts w:ascii="Calibri" w:hAnsi="Calibri" w:cs="Arial"/>
                <w:b/>
                <w:bCs/>
                <w:iCs/>
                <w:sz w:val="20"/>
              </w:rPr>
              <w:t>P</w:t>
            </w:r>
            <w:r w:rsidR="00707893">
              <w:rPr>
                <w:rFonts w:ascii="Calibri" w:hAnsi="Calibri" w:cs="Arial"/>
                <w:b/>
                <w:bCs/>
                <w:iCs/>
                <w:sz w:val="20"/>
              </w:rPr>
              <w:t>rognoza</w:t>
            </w:r>
          </w:p>
        </w:tc>
        <w:tc>
          <w:tcPr>
            <w:tcW w:w="851" w:type="dxa"/>
            <w:vAlign w:val="center"/>
          </w:tcPr>
          <w:p w14:paraId="0F3AC5DB" w14:textId="77777777" w:rsidR="009C1428" w:rsidRPr="00294344" w:rsidRDefault="009C1428" w:rsidP="007E0A25">
            <w:pPr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 w:rsidRPr="00294344">
              <w:rPr>
                <w:rFonts w:ascii="Calibri" w:hAnsi="Calibri" w:cs="Arial"/>
                <w:b/>
                <w:bCs/>
                <w:iCs/>
                <w:sz w:val="20"/>
              </w:rPr>
              <w:t>Dynamika</w:t>
            </w:r>
          </w:p>
          <w:p w14:paraId="5CC52385" w14:textId="2A253B1C" w:rsidR="009C1428" w:rsidRPr="00294344" w:rsidRDefault="005B548B" w:rsidP="007E0A25">
            <w:pPr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>
              <w:rPr>
                <w:rFonts w:ascii="Calibri" w:hAnsi="Calibri" w:cs="Arial"/>
                <w:b/>
                <w:bCs/>
                <w:iCs/>
                <w:sz w:val="20"/>
              </w:rPr>
              <w:t>202</w:t>
            </w:r>
            <w:r w:rsidR="00707893">
              <w:rPr>
                <w:rFonts w:ascii="Calibri" w:hAnsi="Calibri" w:cs="Arial"/>
                <w:b/>
                <w:bCs/>
                <w:iCs/>
                <w:sz w:val="20"/>
              </w:rPr>
              <w:t>5</w:t>
            </w:r>
            <w:r>
              <w:rPr>
                <w:rFonts w:ascii="Calibri" w:hAnsi="Calibri" w:cs="Arial"/>
                <w:b/>
                <w:bCs/>
                <w:iCs/>
                <w:sz w:val="20"/>
              </w:rPr>
              <w:t>/ 20</w:t>
            </w:r>
            <w:r w:rsidR="00CA1391">
              <w:rPr>
                <w:rFonts w:ascii="Calibri" w:hAnsi="Calibri" w:cs="Arial"/>
                <w:b/>
                <w:bCs/>
                <w:iCs/>
                <w:sz w:val="20"/>
              </w:rPr>
              <w:t>2</w:t>
            </w:r>
            <w:r w:rsidR="00707893">
              <w:rPr>
                <w:rFonts w:ascii="Calibri" w:hAnsi="Calibri" w:cs="Arial"/>
                <w:b/>
                <w:bCs/>
                <w:iCs/>
                <w:sz w:val="20"/>
              </w:rPr>
              <w:t>4</w:t>
            </w:r>
          </w:p>
          <w:p w14:paraId="11F091AA" w14:textId="77777777" w:rsidR="009C1428" w:rsidRPr="00294344" w:rsidRDefault="009C1428" w:rsidP="007E0A25">
            <w:pPr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>
              <w:rPr>
                <w:rFonts w:ascii="Calibri" w:hAnsi="Calibri" w:cs="Arial"/>
                <w:b/>
                <w:bCs/>
                <w:iCs/>
                <w:sz w:val="20"/>
              </w:rPr>
              <w:t>(%</w:t>
            </w:r>
            <w:r w:rsidRPr="00294344">
              <w:rPr>
                <w:rFonts w:ascii="Calibri" w:hAnsi="Calibri" w:cs="Arial"/>
                <w:b/>
                <w:bCs/>
                <w:iCs/>
                <w:sz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5510F342" w14:textId="569DE98B" w:rsidR="009C1428" w:rsidRDefault="005B548B" w:rsidP="007E0A25">
            <w:pPr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>
              <w:rPr>
                <w:rFonts w:ascii="Calibri" w:hAnsi="Calibri" w:cs="Arial"/>
                <w:b/>
                <w:bCs/>
                <w:iCs/>
                <w:sz w:val="20"/>
              </w:rPr>
              <w:t>202</w:t>
            </w:r>
            <w:r w:rsidR="00707893">
              <w:rPr>
                <w:rFonts w:ascii="Calibri" w:hAnsi="Calibri" w:cs="Arial"/>
                <w:b/>
                <w:bCs/>
                <w:iCs/>
                <w:sz w:val="20"/>
              </w:rPr>
              <w:t>6</w:t>
            </w:r>
            <w:r w:rsidR="009C1428" w:rsidRPr="00294344">
              <w:rPr>
                <w:rFonts w:ascii="Calibri" w:hAnsi="Calibri" w:cs="Arial"/>
                <w:b/>
                <w:bCs/>
                <w:iCs/>
                <w:sz w:val="20"/>
              </w:rPr>
              <w:t xml:space="preserve"> r.</w:t>
            </w:r>
            <w:r w:rsidR="009C1428">
              <w:rPr>
                <w:rFonts w:ascii="Calibri" w:hAnsi="Calibri" w:cs="Arial"/>
                <w:b/>
                <w:bCs/>
                <w:iCs/>
                <w:sz w:val="20"/>
              </w:rPr>
              <w:t xml:space="preserve"> (zł)</w:t>
            </w:r>
          </w:p>
          <w:p w14:paraId="06511647" w14:textId="1C74B9E7" w:rsidR="00C42A39" w:rsidRPr="00294344" w:rsidRDefault="00C42A39" w:rsidP="007E0A25">
            <w:pPr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>
              <w:rPr>
                <w:rFonts w:ascii="Calibri" w:hAnsi="Calibri" w:cs="Arial"/>
                <w:b/>
                <w:bCs/>
                <w:iCs/>
                <w:sz w:val="20"/>
              </w:rPr>
              <w:t>P</w:t>
            </w:r>
            <w:r w:rsidR="00707893">
              <w:rPr>
                <w:rFonts w:ascii="Calibri" w:hAnsi="Calibri" w:cs="Arial"/>
                <w:b/>
                <w:bCs/>
                <w:iCs/>
                <w:sz w:val="20"/>
              </w:rPr>
              <w:t>rognoza</w:t>
            </w:r>
          </w:p>
        </w:tc>
        <w:tc>
          <w:tcPr>
            <w:tcW w:w="887" w:type="dxa"/>
            <w:vAlign w:val="center"/>
          </w:tcPr>
          <w:p w14:paraId="6FD05976" w14:textId="77777777" w:rsidR="009C1428" w:rsidRPr="00294344" w:rsidRDefault="009C1428" w:rsidP="007E0A25">
            <w:pPr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 w:rsidRPr="00294344">
              <w:rPr>
                <w:rFonts w:ascii="Calibri" w:hAnsi="Calibri" w:cs="Arial"/>
                <w:b/>
                <w:bCs/>
                <w:iCs/>
                <w:sz w:val="20"/>
              </w:rPr>
              <w:t xml:space="preserve"> Dynamika</w:t>
            </w:r>
          </w:p>
          <w:p w14:paraId="2705027F" w14:textId="7E368396" w:rsidR="009C1428" w:rsidRPr="00294344" w:rsidRDefault="005B548B" w:rsidP="007E0A25">
            <w:pPr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>
              <w:rPr>
                <w:rFonts w:ascii="Calibri" w:hAnsi="Calibri" w:cs="Arial"/>
                <w:b/>
                <w:bCs/>
                <w:iCs/>
                <w:sz w:val="20"/>
              </w:rPr>
              <w:t>202</w:t>
            </w:r>
            <w:r w:rsidR="00707893">
              <w:rPr>
                <w:rFonts w:ascii="Calibri" w:hAnsi="Calibri" w:cs="Arial"/>
                <w:b/>
                <w:bCs/>
                <w:iCs/>
                <w:sz w:val="20"/>
              </w:rPr>
              <w:t>6</w:t>
            </w:r>
            <w:r>
              <w:rPr>
                <w:rFonts w:ascii="Calibri" w:hAnsi="Calibri" w:cs="Arial"/>
                <w:b/>
                <w:bCs/>
                <w:iCs/>
                <w:sz w:val="20"/>
              </w:rPr>
              <w:t>/ 202</w:t>
            </w:r>
            <w:r w:rsidR="00707893">
              <w:rPr>
                <w:rFonts w:ascii="Calibri" w:hAnsi="Calibri" w:cs="Arial"/>
                <w:b/>
                <w:bCs/>
                <w:iCs/>
                <w:sz w:val="20"/>
              </w:rPr>
              <w:t>5</w:t>
            </w:r>
          </w:p>
          <w:p w14:paraId="063D9B15" w14:textId="77777777" w:rsidR="009C1428" w:rsidRPr="00294344" w:rsidRDefault="009C1428" w:rsidP="007E0A25">
            <w:pPr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>
              <w:rPr>
                <w:rFonts w:ascii="Calibri" w:hAnsi="Calibri" w:cs="Arial"/>
                <w:b/>
                <w:bCs/>
                <w:iCs/>
                <w:sz w:val="20"/>
              </w:rPr>
              <w:t>(%</w:t>
            </w:r>
            <w:r w:rsidRPr="00294344">
              <w:rPr>
                <w:rFonts w:ascii="Calibri" w:hAnsi="Calibri" w:cs="Arial"/>
                <w:b/>
                <w:bCs/>
                <w:iCs/>
                <w:sz w:val="20"/>
              </w:rPr>
              <w:t>)</w:t>
            </w:r>
          </w:p>
        </w:tc>
      </w:tr>
      <w:tr w:rsidR="009C1428" w14:paraId="664AB681" w14:textId="77777777" w:rsidTr="00C11D69">
        <w:tc>
          <w:tcPr>
            <w:tcW w:w="1324" w:type="dxa"/>
            <w:vAlign w:val="center"/>
          </w:tcPr>
          <w:p w14:paraId="4E949F79" w14:textId="77777777" w:rsidR="009C1428" w:rsidRPr="00FD70D7" w:rsidRDefault="009C1428" w:rsidP="007E0A25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</w:rPr>
            </w:pPr>
            <w:r w:rsidRPr="00FD70D7">
              <w:rPr>
                <w:rFonts w:ascii="Calibri" w:hAnsi="Calibri" w:cs="Arial"/>
                <w:b/>
                <w:bCs/>
                <w:i/>
                <w:iCs/>
                <w:sz w:val="20"/>
              </w:rPr>
              <w:t>1</w:t>
            </w:r>
          </w:p>
        </w:tc>
        <w:tc>
          <w:tcPr>
            <w:tcW w:w="1440" w:type="dxa"/>
            <w:vAlign w:val="center"/>
          </w:tcPr>
          <w:p w14:paraId="36B6D50D" w14:textId="77777777" w:rsidR="009C1428" w:rsidRPr="00FD70D7" w:rsidRDefault="009C1428" w:rsidP="007E0A25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</w:rPr>
            </w:pPr>
            <w:r w:rsidRPr="00FD70D7">
              <w:rPr>
                <w:rFonts w:ascii="Calibri" w:hAnsi="Calibri" w:cs="Arial"/>
                <w:b/>
                <w:bCs/>
                <w:i/>
                <w:iCs/>
                <w:sz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F182360" w14:textId="77777777" w:rsidR="009C1428" w:rsidRPr="00FD70D7" w:rsidRDefault="009C1428" w:rsidP="007E0A25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</w:rPr>
            </w:pPr>
            <w:r w:rsidRPr="00FD70D7">
              <w:rPr>
                <w:rFonts w:ascii="Calibri" w:hAnsi="Calibri" w:cs="Arial"/>
                <w:b/>
                <w:bCs/>
                <w:i/>
                <w:iCs/>
                <w:sz w:val="20"/>
              </w:rPr>
              <w:t>3</w:t>
            </w:r>
          </w:p>
        </w:tc>
        <w:tc>
          <w:tcPr>
            <w:tcW w:w="923" w:type="dxa"/>
            <w:vAlign w:val="center"/>
          </w:tcPr>
          <w:p w14:paraId="7C11D092" w14:textId="77777777" w:rsidR="009C1428" w:rsidRPr="00FD70D7" w:rsidRDefault="009C1428" w:rsidP="007E0A25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</w:rPr>
            </w:pPr>
            <w:r w:rsidRPr="00FD70D7">
              <w:rPr>
                <w:rFonts w:ascii="Calibri" w:hAnsi="Calibri" w:cs="Arial"/>
                <w:b/>
                <w:bCs/>
                <w:i/>
                <w:iCs/>
                <w:sz w:val="20"/>
              </w:rPr>
              <w:t>4</w:t>
            </w:r>
          </w:p>
        </w:tc>
        <w:tc>
          <w:tcPr>
            <w:tcW w:w="1345" w:type="dxa"/>
            <w:vAlign w:val="center"/>
          </w:tcPr>
          <w:p w14:paraId="527B61CE" w14:textId="77777777" w:rsidR="009C1428" w:rsidRPr="00FD70D7" w:rsidRDefault="009C1428" w:rsidP="007E0A25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</w:rPr>
            </w:pPr>
            <w:r w:rsidRPr="00FD70D7">
              <w:rPr>
                <w:rFonts w:ascii="Calibri" w:hAnsi="Calibri" w:cs="Arial"/>
                <w:b/>
                <w:bCs/>
                <w:i/>
                <w:iCs/>
                <w:sz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626403E9" w14:textId="77777777" w:rsidR="009C1428" w:rsidRPr="00FD70D7" w:rsidRDefault="009C1428" w:rsidP="007E0A25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</w:rPr>
            </w:pPr>
            <w:r w:rsidRPr="00FD70D7">
              <w:rPr>
                <w:rFonts w:ascii="Calibri" w:hAnsi="Calibri" w:cs="Arial"/>
                <w:b/>
                <w:bCs/>
                <w:i/>
                <w:iCs/>
                <w:sz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31F6E6F3" w14:textId="77777777" w:rsidR="009C1428" w:rsidRPr="00FD70D7" w:rsidRDefault="009C1428" w:rsidP="007E0A25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sz w:val="20"/>
              </w:rPr>
              <w:t>7</w:t>
            </w:r>
          </w:p>
        </w:tc>
        <w:tc>
          <w:tcPr>
            <w:tcW w:w="887" w:type="dxa"/>
            <w:vAlign w:val="center"/>
          </w:tcPr>
          <w:p w14:paraId="6806C1EE" w14:textId="77777777" w:rsidR="009C1428" w:rsidRPr="00FD70D7" w:rsidRDefault="009C1428" w:rsidP="007E0A25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sz w:val="20"/>
              </w:rPr>
              <w:t>8</w:t>
            </w:r>
          </w:p>
        </w:tc>
      </w:tr>
      <w:tr w:rsidR="009C1428" w14:paraId="177F9146" w14:textId="77777777" w:rsidTr="00C11D69">
        <w:tc>
          <w:tcPr>
            <w:tcW w:w="1324" w:type="dxa"/>
            <w:vAlign w:val="center"/>
          </w:tcPr>
          <w:p w14:paraId="5B48540B" w14:textId="77777777" w:rsidR="009C1428" w:rsidRPr="009F4884" w:rsidRDefault="009C1428" w:rsidP="007E0A25">
            <w:pPr>
              <w:rPr>
                <w:rFonts w:ascii="Calibri" w:hAnsi="Calibri" w:cs="Arial"/>
                <w:szCs w:val="22"/>
              </w:rPr>
            </w:pPr>
            <w:r w:rsidRPr="009F4884">
              <w:rPr>
                <w:rFonts w:ascii="Calibri" w:hAnsi="Calibri" w:cs="Arial"/>
                <w:sz w:val="22"/>
                <w:szCs w:val="22"/>
              </w:rPr>
              <w:t xml:space="preserve">Koszty </w:t>
            </w:r>
            <w:r w:rsidR="00120C9C">
              <w:rPr>
                <w:rFonts w:ascii="Calibri" w:hAnsi="Calibri" w:cs="Arial"/>
                <w:sz w:val="22"/>
                <w:szCs w:val="22"/>
              </w:rPr>
              <w:t>działalności operacyjnej</w:t>
            </w:r>
          </w:p>
        </w:tc>
        <w:tc>
          <w:tcPr>
            <w:tcW w:w="1440" w:type="dxa"/>
            <w:vAlign w:val="center"/>
          </w:tcPr>
          <w:p w14:paraId="00CD1A65" w14:textId="48ABB3AE" w:rsidR="000D6EDC" w:rsidRPr="00C11D69" w:rsidRDefault="00D109CB" w:rsidP="000D6EDC">
            <w:pPr>
              <w:jc w:val="center"/>
              <w:rPr>
                <w:rFonts w:ascii="Calibri" w:hAnsi="Calibri"/>
                <w:szCs w:val="22"/>
              </w:rPr>
            </w:pPr>
            <w:r w:rsidRPr="00C11D69">
              <w:rPr>
                <w:rFonts w:ascii="Calibri" w:hAnsi="Calibri"/>
                <w:sz w:val="22"/>
                <w:szCs w:val="22"/>
              </w:rPr>
              <w:t>14 646 398,22</w:t>
            </w:r>
          </w:p>
        </w:tc>
        <w:tc>
          <w:tcPr>
            <w:tcW w:w="1417" w:type="dxa"/>
            <w:vAlign w:val="center"/>
          </w:tcPr>
          <w:p w14:paraId="577A337C" w14:textId="3840B225" w:rsidR="009C1428" w:rsidRPr="00C11D69" w:rsidRDefault="00D7255E" w:rsidP="00FA7359">
            <w:pPr>
              <w:jc w:val="center"/>
              <w:rPr>
                <w:rFonts w:ascii="Calibri" w:hAnsi="Calibri"/>
                <w:szCs w:val="22"/>
              </w:rPr>
            </w:pPr>
            <w:r w:rsidRPr="00C11D69">
              <w:rPr>
                <w:rFonts w:ascii="Calibri" w:hAnsi="Calibri"/>
                <w:sz w:val="22"/>
                <w:szCs w:val="22"/>
              </w:rPr>
              <w:t>16597373,80</w:t>
            </w:r>
          </w:p>
        </w:tc>
        <w:tc>
          <w:tcPr>
            <w:tcW w:w="923" w:type="dxa"/>
            <w:vAlign w:val="center"/>
          </w:tcPr>
          <w:p w14:paraId="06160EFE" w14:textId="642C8340" w:rsidR="009C1428" w:rsidRPr="00C11D69" w:rsidRDefault="00D7255E" w:rsidP="007E0A25">
            <w:pPr>
              <w:jc w:val="right"/>
              <w:rPr>
                <w:rFonts w:ascii="Calibri" w:hAnsi="Calibri"/>
                <w:szCs w:val="22"/>
              </w:rPr>
            </w:pPr>
            <w:r w:rsidRPr="00C11D69">
              <w:rPr>
                <w:rFonts w:ascii="Calibri" w:hAnsi="Calibri"/>
                <w:sz w:val="22"/>
                <w:szCs w:val="22"/>
              </w:rPr>
              <w:t>113,32</w:t>
            </w:r>
          </w:p>
        </w:tc>
        <w:tc>
          <w:tcPr>
            <w:tcW w:w="1345" w:type="dxa"/>
            <w:vAlign w:val="center"/>
          </w:tcPr>
          <w:p w14:paraId="1749D748" w14:textId="48A1F5E4" w:rsidR="009C1428" w:rsidRPr="00C11D69" w:rsidRDefault="00C1784F" w:rsidP="007E0A25">
            <w:pPr>
              <w:jc w:val="right"/>
              <w:rPr>
                <w:rFonts w:ascii="Calibri" w:hAnsi="Calibri"/>
                <w:szCs w:val="22"/>
              </w:rPr>
            </w:pPr>
            <w:r w:rsidRPr="00C11D69">
              <w:rPr>
                <w:rFonts w:ascii="Calibri" w:hAnsi="Calibri"/>
                <w:sz w:val="22"/>
                <w:szCs w:val="22"/>
              </w:rPr>
              <w:t>16993200,00</w:t>
            </w:r>
          </w:p>
        </w:tc>
        <w:tc>
          <w:tcPr>
            <w:tcW w:w="851" w:type="dxa"/>
            <w:vAlign w:val="center"/>
          </w:tcPr>
          <w:p w14:paraId="06D490B2" w14:textId="01C517E9" w:rsidR="009C1428" w:rsidRPr="00C11D69" w:rsidRDefault="00C1784F" w:rsidP="007E0A25">
            <w:pPr>
              <w:jc w:val="right"/>
              <w:rPr>
                <w:rFonts w:ascii="Calibri" w:hAnsi="Calibri"/>
                <w:szCs w:val="22"/>
              </w:rPr>
            </w:pPr>
            <w:r w:rsidRPr="00C11D69">
              <w:rPr>
                <w:rFonts w:ascii="Calibri" w:hAnsi="Calibri"/>
                <w:sz w:val="22"/>
                <w:szCs w:val="22"/>
              </w:rPr>
              <w:t>102,38</w:t>
            </w:r>
          </w:p>
        </w:tc>
        <w:tc>
          <w:tcPr>
            <w:tcW w:w="1417" w:type="dxa"/>
            <w:vAlign w:val="center"/>
          </w:tcPr>
          <w:p w14:paraId="23BF9E3C" w14:textId="36287007" w:rsidR="009C1428" w:rsidRPr="00C11D69" w:rsidRDefault="007B00CA" w:rsidP="007E0A25">
            <w:pPr>
              <w:jc w:val="right"/>
              <w:rPr>
                <w:rFonts w:ascii="Calibri" w:hAnsi="Calibri"/>
                <w:szCs w:val="22"/>
              </w:rPr>
            </w:pPr>
            <w:r w:rsidRPr="00C11D69">
              <w:rPr>
                <w:rFonts w:ascii="Calibri" w:hAnsi="Calibri"/>
                <w:sz w:val="22"/>
                <w:szCs w:val="22"/>
              </w:rPr>
              <w:t>17355000,00</w:t>
            </w:r>
          </w:p>
        </w:tc>
        <w:tc>
          <w:tcPr>
            <w:tcW w:w="887" w:type="dxa"/>
            <w:vAlign w:val="center"/>
          </w:tcPr>
          <w:p w14:paraId="092625AA" w14:textId="6EAA8ECA" w:rsidR="009C1428" w:rsidRPr="00C11D69" w:rsidRDefault="007B00CA" w:rsidP="007E0A25">
            <w:pPr>
              <w:jc w:val="right"/>
              <w:rPr>
                <w:rFonts w:ascii="Calibri" w:hAnsi="Calibri"/>
                <w:szCs w:val="22"/>
              </w:rPr>
            </w:pPr>
            <w:r w:rsidRPr="00C11D69">
              <w:rPr>
                <w:rFonts w:ascii="Calibri" w:hAnsi="Calibri"/>
                <w:sz w:val="22"/>
                <w:szCs w:val="22"/>
              </w:rPr>
              <w:t>102,13</w:t>
            </w:r>
          </w:p>
        </w:tc>
      </w:tr>
      <w:tr w:rsidR="009C1428" w14:paraId="00A93E73" w14:textId="77777777" w:rsidTr="00C11D69">
        <w:tc>
          <w:tcPr>
            <w:tcW w:w="1324" w:type="dxa"/>
            <w:vAlign w:val="center"/>
          </w:tcPr>
          <w:p w14:paraId="13F4EBD8" w14:textId="77777777" w:rsidR="009C1428" w:rsidRPr="009F4884" w:rsidRDefault="009C1428" w:rsidP="007E0A25">
            <w:pPr>
              <w:rPr>
                <w:rFonts w:ascii="Calibri" w:hAnsi="Calibri" w:cs="Arial"/>
                <w:szCs w:val="22"/>
              </w:rPr>
            </w:pPr>
            <w:r w:rsidRPr="009F4884">
              <w:rPr>
                <w:rFonts w:ascii="Calibri" w:hAnsi="Calibri" w:cs="Arial"/>
                <w:sz w:val="22"/>
                <w:szCs w:val="22"/>
              </w:rPr>
              <w:t>Pozostałe koszty operacyjne</w:t>
            </w:r>
          </w:p>
        </w:tc>
        <w:tc>
          <w:tcPr>
            <w:tcW w:w="1440" w:type="dxa"/>
            <w:vAlign w:val="center"/>
          </w:tcPr>
          <w:p w14:paraId="360886E6" w14:textId="2180CE0D" w:rsidR="009C1428" w:rsidRPr="00C11D69" w:rsidRDefault="00D109CB" w:rsidP="007E0A25">
            <w:pPr>
              <w:jc w:val="right"/>
              <w:rPr>
                <w:rFonts w:ascii="Calibri" w:hAnsi="Calibri"/>
                <w:szCs w:val="22"/>
              </w:rPr>
            </w:pPr>
            <w:r w:rsidRPr="00C11D69">
              <w:rPr>
                <w:rFonts w:ascii="Calibri" w:hAnsi="Calibri"/>
                <w:sz w:val="22"/>
                <w:szCs w:val="22"/>
              </w:rPr>
              <w:t>775799,47</w:t>
            </w:r>
          </w:p>
        </w:tc>
        <w:tc>
          <w:tcPr>
            <w:tcW w:w="1417" w:type="dxa"/>
            <w:vAlign w:val="center"/>
          </w:tcPr>
          <w:p w14:paraId="002BFFB3" w14:textId="5A1851B4" w:rsidR="009C1428" w:rsidRPr="00C11D69" w:rsidRDefault="00D7255E" w:rsidP="007E0A25">
            <w:pPr>
              <w:jc w:val="right"/>
              <w:rPr>
                <w:rFonts w:ascii="Calibri" w:hAnsi="Calibri"/>
                <w:szCs w:val="22"/>
              </w:rPr>
            </w:pPr>
            <w:r w:rsidRPr="00C11D69">
              <w:rPr>
                <w:rFonts w:ascii="Calibri" w:hAnsi="Calibri"/>
                <w:sz w:val="22"/>
                <w:szCs w:val="22"/>
              </w:rPr>
              <w:t>770000,00</w:t>
            </w:r>
          </w:p>
        </w:tc>
        <w:tc>
          <w:tcPr>
            <w:tcW w:w="923" w:type="dxa"/>
            <w:vAlign w:val="center"/>
          </w:tcPr>
          <w:p w14:paraId="32FD16D9" w14:textId="765CC902" w:rsidR="009C1428" w:rsidRPr="00C11D69" w:rsidRDefault="00D7255E" w:rsidP="007E0A25">
            <w:pPr>
              <w:jc w:val="right"/>
              <w:rPr>
                <w:rFonts w:ascii="Calibri" w:hAnsi="Calibri"/>
                <w:szCs w:val="22"/>
              </w:rPr>
            </w:pPr>
            <w:r w:rsidRPr="00C11D69">
              <w:rPr>
                <w:rFonts w:ascii="Calibri" w:hAnsi="Calibri"/>
                <w:sz w:val="22"/>
                <w:szCs w:val="22"/>
              </w:rPr>
              <w:t>99,25</w:t>
            </w:r>
          </w:p>
        </w:tc>
        <w:tc>
          <w:tcPr>
            <w:tcW w:w="1345" w:type="dxa"/>
            <w:vAlign w:val="center"/>
          </w:tcPr>
          <w:p w14:paraId="32624BBD" w14:textId="0F5FEB41" w:rsidR="009C1428" w:rsidRPr="00C11D69" w:rsidRDefault="00C1784F" w:rsidP="007E0A25">
            <w:pPr>
              <w:jc w:val="right"/>
              <w:rPr>
                <w:rFonts w:ascii="Calibri" w:hAnsi="Calibri"/>
                <w:szCs w:val="22"/>
              </w:rPr>
            </w:pPr>
            <w:r w:rsidRPr="00C11D69">
              <w:rPr>
                <w:rFonts w:ascii="Calibri" w:hAnsi="Calibri"/>
                <w:sz w:val="22"/>
                <w:szCs w:val="22"/>
              </w:rPr>
              <w:t>930000,00</w:t>
            </w:r>
          </w:p>
        </w:tc>
        <w:tc>
          <w:tcPr>
            <w:tcW w:w="851" w:type="dxa"/>
            <w:vAlign w:val="center"/>
          </w:tcPr>
          <w:p w14:paraId="00006FC6" w14:textId="7851C154" w:rsidR="009C1428" w:rsidRPr="00C11D69" w:rsidRDefault="00C1784F" w:rsidP="007E0A25">
            <w:pPr>
              <w:jc w:val="right"/>
              <w:rPr>
                <w:rFonts w:ascii="Calibri" w:hAnsi="Calibri"/>
                <w:szCs w:val="22"/>
              </w:rPr>
            </w:pPr>
            <w:r w:rsidRPr="00C11D69">
              <w:rPr>
                <w:rFonts w:ascii="Calibri" w:hAnsi="Calibri"/>
                <w:sz w:val="22"/>
                <w:szCs w:val="22"/>
              </w:rPr>
              <w:t>120,78</w:t>
            </w:r>
          </w:p>
        </w:tc>
        <w:tc>
          <w:tcPr>
            <w:tcW w:w="1417" w:type="dxa"/>
            <w:vAlign w:val="center"/>
          </w:tcPr>
          <w:p w14:paraId="2BCCB7CD" w14:textId="51E04093" w:rsidR="009C1428" w:rsidRPr="00C11D69" w:rsidRDefault="007B00CA" w:rsidP="00CC2603">
            <w:pPr>
              <w:jc w:val="right"/>
              <w:rPr>
                <w:rFonts w:ascii="Calibri" w:hAnsi="Calibri"/>
                <w:szCs w:val="22"/>
              </w:rPr>
            </w:pPr>
            <w:r w:rsidRPr="00C11D69">
              <w:rPr>
                <w:rFonts w:ascii="Calibri" w:hAnsi="Calibri"/>
                <w:sz w:val="22"/>
                <w:szCs w:val="22"/>
              </w:rPr>
              <w:t>950000,00</w:t>
            </w:r>
          </w:p>
        </w:tc>
        <w:tc>
          <w:tcPr>
            <w:tcW w:w="887" w:type="dxa"/>
            <w:vAlign w:val="center"/>
          </w:tcPr>
          <w:p w14:paraId="67B40824" w14:textId="2F59DF43" w:rsidR="009C1428" w:rsidRPr="00C11D69" w:rsidRDefault="007B00CA" w:rsidP="00CC2603">
            <w:pPr>
              <w:jc w:val="right"/>
              <w:rPr>
                <w:rFonts w:ascii="Calibri" w:hAnsi="Calibri"/>
                <w:szCs w:val="22"/>
              </w:rPr>
            </w:pPr>
            <w:r w:rsidRPr="00C11D69">
              <w:rPr>
                <w:rFonts w:ascii="Calibri" w:hAnsi="Calibri"/>
                <w:sz w:val="22"/>
                <w:szCs w:val="22"/>
              </w:rPr>
              <w:t>102,15</w:t>
            </w:r>
          </w:p>
        </w:tc>
      </w:tr>
      <w:tr w:rsidR="009C1428" w14:paraId="205402A5" w14:textId="77777777" w:rsidTr="00C11D69">
        <w:trPr>
          <w:trHeight w:val="70"/>
        </w:trPr>
        <w:tc>
          <w:tcPr>
            <w:tcW w:w="1324" w:type="dxa"/>
            <w:vAlign w:val="center"/>
          </w:tcPr>
          <w:p w14:paraId="77CD6E6E" w14:textId="77777777" w:rsidR="009C1428" w:rsidRPr="009F4884" w:rsidRDefault="009C1428" w:rsidP="007E0A25">
            <w:pPr>
              <w:rPr>
                <w:rFonts w:ascii="Calibri" w:hAnsi="Calibri" w:cs="Arial"/>
                <w:szCs w:val="22"/>
              </w:rPr>
            </w:pPr>
            <w:r w:rsidRPr="009F4884">
              <w:rPr>
                <w:rFonts w:ascii="Calibri" w:hAnsi="Calibri" w:cs="Arial"/>
                <w:sz w:val="22"/>
                <w:szCs w:val="22"/>
              </w:rPr>
              <w:t>Koszty finansowe</w:t>
            </w:r>
          </w:p>
        </w:tc>
        <w:tc>
          <w:tcPr>
            <w:tcW w:w="1440" w:type="dxa"/>
            <w:vAlign w:val="center"/>
          </w:tcPr>
          <w:p w14:paraId="1F127C0F" w14:textId="3D8D5ABA" w:rsidR="009C1428" w:rsidRPr="00C11D69" w:rsidRDefault="00D109CB" w:rsidP="00620EC3">
            <w:pPr>
              <w:jc w:val="right"/>
              <w:rPr>
                <w:rFonts w:ascii="Calibri" w:hAnsi="Calibri"/>
                <w:szCs w:val="22"/>
              </w:rPr>
            </w:pPr>
            <w:r w:rsidRPr="00C11D69">
              <w:rPr>
                <w:rFonts w:ascii="Calibri" w:hAnsi="Calibri"/>
                <w:sz w:val="22"/>
                <w:szCs w:val="22"/>
              </w:rPr>
              <w:t>12,50</w:t>
            </w:r>
          </w:p>
        </w:tc>
        <w:tc>
          <w:tcPr>
            <w:tcW w:w="1417" w:type="dxa"/>
            <w:vAlign w:val="center"/>
          </w:tcPr>
          <w:p w14:paraId="232E0179" w14:textId="2414878D" w:rsidR="009C1428" w:rsidRPr="00C11D69" w:rsidRDefault="00D7255E" w:rsidP="007E0A25">
            <w:pPr>
              <w:jc w:val="right"/>
              <w:rPr>
                <w:rFonts w:ascii="Calibri" w:hAnsi="Calibri"/>
                <w:szCs w:val="22"/>
              </w:rPr>
            </w:pPr>
            <w:r w:rsidRPr="00C11D69">
              <w:rPr>
                <w:rFonts w:ascii="Calibri" w:hAnsi="Calibri"/>
                <w:sz w:val="22"/>
                <w:szCs w:val="22"/>
              </w:rPr>
              <w:t>15,00</w:t>
            </w:r>
          </w:p>
        </w:tc>
        <w:tc>
          <w:tcPr>
            <w:tcW w:w="923" w:type="dxa"/>
            <w:vAlign w:val="center"/>
          </w:tcPr>
          <w:p w14:paraId="36FB5760" w14:textId="5640058B" w:rsidR="009C1428" w:rsidRPr="00C11D69" w:rsidRDefault="00D7255E" w:rsidP="0033433B">
            <w:pPr>
              <w:jc w:val="right"/>
              <w:rPr>
                <w:rFonts w:ascii="Calibri" w:hAnsi="Calibri"/>
                <w:szCs w:val="22"/>
              </w:rPr>
            </w:pPr>
            <w:r w:rsidRPr="00C11D69">
              <w:rPr>
                <w:rFonts w:ascii="Calibri" w:hAnsi="Calibri"/>
                <w:sz w:val="22"/>
                <w:szCs w:val="22"/>
              </w:rPr>
              <w:t>120,00</w:t>
            </w:r>
          </w:p>
        </w:tc>
        <w:tc>
          <w:tcPr>
            <w:tcW w:w="1345" w:type="dxa"/>
            <w:vAlign w:val="center"/>
          </w:tcPr>
          <w:p w14:paraId="6353BE3D" w14:textId="4E9BBBFD" w:rsidR="009C1428" w:rsidRPr="00C11D69" w:rsidRDefault="00C1784F" w:rsidP="007E0A25">
            <w:pPr>
              <w:jc w:val="right"/>
              <w:rPr>
                <w:rFonts w:ascii="Calibri" w:hAnsi="Calibri"/>
                <w:szCs w:val="22"/>
              </w:rPr>
            </w:pPr>
            <w:r w:rsidRPr="00C11D69">
              <w:rPr>
                <w:rFonts w:ascii="Calibri" w:hAnsi="Calibri"/>
                <w:sz w:val="22"/>
                <w:szCs w:val="22"/>
              </w:rPr>
              <w:t>30,00</w:t>
            </w:r>
          </w:p>
        </w:tc>
        <w:tc>
          <w:tcPr>
            <w:tcW w:w="851" w:type="dxa"/>
            <w:vAlign w:val="center"/>
          </w:tcPr>
          <w:p w14:paraId="1EB60520" w14:textId="3EA34C13" w:rsidR="009C1428" w:rsidRPr="00C11D69" w:rsidRDefault="00C1784F" w:rsidP="007E0A25">
            <w:pPr>
              <w:jc w:val="right"/>
              <w:rPr>
                <w:rFonts w:ascii="Calibri" w:hAnsi="Calibri"/>
                <w:szCs w:val="22"/>
              </w:rPr>
            </w:pPr>
            <w:r w:rsidRPr="00C11D69">
              <w:rPr>
                <w:rFonts w:ascii="Calibri" w:hAnsi="Calibri"/>
                <w:sz w:val="22"/>
                <w:szCs w:val="22"/>
              </w:rPr>
              <w:t>200,00</w:t>
            </w:r>
          </w:p>
        </w:tc>
        <w:tc>
          <w:tcPr>
            <w:tcW w:w="1417" w:type="dxa"/>
            <w:vAlign w:val="center"/>
          </w:tcPr>
          <w:p w14:paraId="47EF63BB" w14:textId="24A8378C" w:rsidR="009C1428" w:rsidRPr="00C11D69" w:rsidRDefault="007B00CA" w:rsidP="007E0A25">
            <w:pPr>
              <w:jc w:val="right"/>
              <w:rPr>
                <w:rFonts w:ascii="Calibri" w:hAnsi="Calibri"/>
                <w:szCs w:val="22"/>
              </w:rPr>
            </w:pPr>
            <w:r w:rsidRPr="00C11D69">
              <w:rPr>
                <w:rFonts w:ascii="Calibri" w:hAnsi="Calibri"/>
                <w:sz w:val="22"/>
                <w:szCs w:val="22"/>
              </w:rPr>
              <w:t>500,00</w:t>
            </w:r>
          </w:p>
        </w:tc>
        <w:tc>
          <w:tcPr>
            <w:tcW w:w="887" w:type="dxa"/>
            <w:vAlign w:val="center"/>
          </w:tcPr>
          <w:p w14:paraId="45D1E53C" w14:textId="3728D68A" w:rsidR="009C1428" w:rsidRPr="00C11D69" w:rsidRDefault="007B00CA" w:rsidP="00CC2603">
            <w:pPr>
              <w:jc w:val="right"/>
              <w:rPr>
                <w:rFonts w:ascii="Calibri" w:hAnsi="Calibri"/>
                <w:szCs w:val="22"/>
              </w:rPr>
            </w:pPr>
            <w:r w:rsidRPr="00C11D69">
              <w:rPr>
                <w:rFonts w:ascii="Calibri" w:hAnsi="Calibri"/>
                <w:sz w:val="22"/>
                <w:szCs w:val="22"/>
              </w:rPr>
              <w:t>16,67</w:t>
            </w:r>
          </w:p>
        </w:tc>
      </w:tr>
      <w:tr w:rsidR="009C1428" w14:paraId="52710EA3" w14:textId="77777777" w:rsidTr="00C11D69">
        <w:tc>
          <w:tcPr>
            <w:tcW w:w="1324" w:type="dxa"/>
            <w:vAlign w:val="center"/>
          </w:tcPr>
          <w:p w14:paraId="51F6313B" w14:textId="77777777" w:rsidR="009C1428" w:rsidRPr="00E43C3D" w:rsidRDefault="009C1428" w:rsidP="007E0A25">
            <w:pPr>
              <w:rPr>
                <w:rFonts w:ascii="Calibri" w:hAnsi="Calibri" w:cs="Arial"/>
                <w:b/>
                <w:szCs w:val="22"/>
              </w:rPr>
            </w:pPr>
            <w:r w:rsidRPr="00E43C3D">
              <w:rPr>
                <w:rFonts w:ascii="Calibri" w:hAnsi="Calibri" w:cs="Arial"/>
                <w:b/>
                <w:sz w:val="22"/>
                <w:szCs w:val="22"/>
              </w:rPr>
              <w:t>Koszty razem</w:t>
            </w:r>
          </w:p>
        </w:tc>
        <w:tc>
          <w:tcPr>
            <w:tcW w:w="1440" w:type="dxa"/>
            <w:vAlign w:val="center"/>
          </w:tcPr>
          <w:p w14:paraId="6CCB9499" w14:textId="753FD078" w:rsidR="009C1428" w:rsidRPr="00C11D69" w:rsidRDefault="00D109CB" w:rsidP="007E0A25">
            <w:pPr>
              <w:jc w:val="right"/>
              <w:rPr>
                <w:rFonts w:ascii="Calibri" w:hAnsi="Calibri"/>
                <w:b/>
                <w:bCs/>
                <w:szCs w:val="22"/>
              </w:rPr>
            </w:pPr>
            <w:r w:rsidRPr="00C11D69">
              <w:rPr>
                <w:rFonts w:ascii="Calibri" w:hAnsi="Calibri"/>
                <w:b/>
                <w:bCs/>
                <w:sz w:val="22"/>
                <w:szCs w:val="22"/>
              </w:rPr>
              <w:t>15422210,19</w:t>
            </w:r>
          </w:p>
        </w:tc>
        <w:tc>
          <w:tcPr>
            <w:tcW w:w="1417" w:type="dxa"/>
            <w:vAlign w:val="center"/>
          </w:tcPr>
          <w:p w14:paraId="5910AE90" w14:textId="47207BE7" w:rsidR="009C1428" w:rsidRPr="00C11D69" w:rsidRDefault="00D7255E" w:rsidP="007E0A25">
            <w:pPr>
              <w:jc w:val="right"/>
              <w:rPr>
                <w:rFonts w:ascii="Calibri" w:hAnsi="Calibri"/>
                <w:b/>
                <w:bCs/>
                <w:szCs w:val="22"/>
              </w:rPr>
            </w:pPr>
            <w:r w:rsidRPr="00C11D69">
              <w:rPr>
                <w:rFonts w:ascii="Calibri" w:hAnsi="Calibri" w:cs="Arial"/>
                <w:sz w:val="22"/>
                <w:szCs w:val="22"/>
              </w:rPr>
              <w:t>16467388,80</w:t>
            </w:r>
          </w:p>
        </w:tc>
        <w:tc>
          <w:tcPr>
            <w:tcW w:w="923" w:type="dxa"/>
            <w:vAlign w:val="center"/>
          </w:tcPr>
          <w:p w14:paraId="7005A340" w14:textId="4CF3C6B2" w:rsidR="009C1428" w:rsidRPr="00C11D69" w:rsidRDefault="00D7255E" w:rsidP="007E0A25">
            <w:pPr>
              <w:jc w:val="right"/>
              <w:rPr>
                <w:rFonts w:ascii="Calibri" w:hAnsi="Calibri"/>
                <w:b/>
                <w:bCs/>
                <w:szCs w:val="22"/>
              </w:rPr>
            </w:pPr>
            <w:r w:rsidRPr="00C11D69">
              <w:rPr>
                <w:rFonts w:ascii="Calibri" w:hAnsi="Calibri"/>
                <w:b/>
                <w:bCs/>
                <w:sz w:val="22"/>
                <w:szCs w:val="22"/>
              </w:rPr>
              <w:t>106,78</w:t>
            </w:r>
          </w:p>
        </w:tc>
        <w:tc>
          <w:tcPr>
            <w:tcW w:w="1345" w:type="dxa"/>
            <w:vAlign w:val="center"/>
          </w:tcPr>
          <w:p w14:paraId="2354BF65" w14:textId="5CF3E469" w:rsidR="009C1428" w:rsidRPr="00C11D69" w:rsidRDefault="00C1784F" w:rsidP="007E0A25">
            <w:pPr>
              <w:jc w:val="right"/>
              <w:rPr>
                <w:rFonts w:ascii="Calibri" w:hAnsi="Calibri"/>
                <w:b/>
                <w:bCs/>
                <w:szCs w:val="22"/>
              </w:rPr>
            </w:pPr>
            <w:r w:rsidRPr="00C11D69">
              <w:rPr>
                <w:rFonts w:ascii="Calibri" w:hAnsi="Calibri" w:cs="Arial"/>
                <w:sz w:val="22"/>
                <w:szCs w:val="22"/>
              </w:rPr>
              <w:t>17923230,00</w:t>
            </w:r>
          </w:p>
        </w:tc>
        <w:tc>
          <w:tcPr>
            <w:tcW w:w="851" w:type="dxa"/>
            <w:vAlign w:val="center"/>
          </w:tcPr>
          <w:p w14:paraId="053F43F6" w14:textId="445A53F4" w:rsidR="009C1428" w:rsidRPr="00C11D69" w:rsidRDefault="00C1784F" w:rsidP="007E0A25">
            <w:pPr>
              <w:jc w:val="right"/>
              <w:rPr>
                <w:rFonts w:ascii="Calibri" w:hAnsi="Calibri"/>
                <w:b/>
                <w:bCs/>
                <w:szCs w:val="22"/>
              </w:rPr>
            </w:pPr>
            <w:r w:rsidRPr="00C11D69">
              <w:rPr>
                <w:rFonts w:ascii="Calibri" w:hAnsi="Calibri"/>
                <w:b/>
                <w:bCs/>
                <w:sz w:val="22"/>
                <w:szCs w:val="22"/>
              </w:rPr>
              <w:t>108,84</w:t>
            </w:r>
          </w:p>
        </w:tc>
        <w:tc>
          <w:tcPr>
            <w:tcW w:w="1417" w:type="dxa"/>
            <w:vAlign w:val="center"/>
          </w:tcPr>
          <w:p w14:paraId="671EE5AB" w14:textId="1C8F6370" w:rsidR="009C1428" w:rsidRPr="00C11D69" w:rsidRDefault="007B00CA" w:rsidP="009936F9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C11D69">
              <w:rPr>
                <w:rFonts w:ascii="Calibri" w:hAnsi="Calibri" w:cs="Arial"/>
                <w:sz w:val="22"/>
                <w:szCs w:val="22"/>
              </w:rPr>
              <w:t>18285500,00</w:t>
            </w:r>
          </w:p>
        </w:tc>
        <w:tc>
          <w:tcPr>
            <w:tcW w:w="887" w:type="dxa"/>
            <w:vAlign w:val="center"/>
          </w:tcPr>
          <w:p w14:paraId="275DBEE5" w14:textId="7D144CE9" w:rsidR="009C1428" w:rsidRPr="00C11D69" w:rsidRDefault="00C11D69" w:rsidP="007E0A25">
            <w:pPr>
              <w:jc w:val="right"/>
              <w:rPr>
                <w:rFonts w:ascii="Calibri" w:hAnsi="Calibri"/>
                <w:b/>
                <w:bCs/>
                <w:szCs w:val="22"/>
              </w:rPr>
            </w:pPr>
            <w:r w:rsidRPr="00C11D69">
              <w:rPr>
                <w:rFonts w:ascii="Calibri" w:hAnsi="Calibri"/>
                <w:b/>
                <w:bCs/>
                <w:sz w:val="22"/>
                <w:szCs w:val="22"/>
              </w:rPr>
              <w:t>102,02</w:t>
            </w:r>
          </w:p>
        </w:tc>
      </w:tr>
    </w:tbl>
    <w:p w14:paraId="73C49CA8" w14:textId="77777777" w:rsidR="005316DB" w:rsidRDefault="005316DB" w:rsidP="009C1428">
      <w:pPr>
        <w:rPr>
          <w:b/>
          <w:bCs/>
          <w:sz w:val="28"/>
          <w:szCs w:val="28"/>
        </w:rPr>
      </w:pPr>
    </w:p>
    <w:p w14:paraId="564B6CF0" w14:textId="124ECABE" w:rsidR="009C1428" w:rsidRDefault="009C1428" w:rsidP="009C1428">
      <w:pPr>
        <w:rPr>
          <w:b/>
          <w:bCs/>
          <w:sz w:val="28"/>
          <w:szCs w:val="28"/>
        </w:rPr>
      </w:pPr>
      <w:r w:rsidRPr="00803024">
        <w:rPr>
          <w:b/>
          <w:bCs/>
          <w:sz w:val="28"/>
          <w:szCs w:val="28"/>
        </w:rPr>
        <w:t>Analiza kosztów rodzajowych (kosztów działalności statutowej)</w:t>
      </w:r>
    </w:p>
    <w:p w14:paraId="269F1858" w14:textId="77777777" w:rsidR="00F4703C" w:rsidRPr="00803024" w:rsidRDefault="00F4703C" w:rsidP="009C1428">
      <w:pPr>
        <w:rPr>
          <w:b/>
          <w:bCs/>
          <w:sz w:val="28"/>
          <w:szCs w:val="28"/>
        </w:rPr>
      </w:pPr>
    </w:p>
    <w:p w14:paraId="4075A3B0" w14:textId="77777777" w:rsidR="009C1428" w:rsidRPr="002B5E5A" w:rsidRDefault="009C1428" w:rsidP="009C1428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276"/>
        <w:gridCol w:w="1134"/>
        <w:gridCol w:w="778"/>
        <w:gridCol w:w="1207"/>
        <w:gridCol w:w="924"/>
        <w:gridCol w:w="1202"/>
        <w:gridCol w:w="920"/>
      </w:tblGrid>
      <w:tr w:rsidR="009C1428" w14:paraId="21C21FB5" w14:textId="77777777" w:rsidTr="00C11D69">
        <w:trPr>
          <w:cantSplit/>
          <w:trHeight w:val="865"/>
        </w:trPr>
        <w:tc>
          <w:tcPr>
            <w:tcW w:w="1771" w:type="dxa"/>
            <w:vAlign w:val="center"/>
          </w:tcPr>
          <w:p w14:paraId="7C1567DB" w14:textId="77777777" w:rsidR="009C1428" w:rsidRPr="002C1A44" w:rsidRDefault="009C1428" w:rsidP="007E0A25">
            <w:pPr>
              <w:jc w:val="center"/>
              <w:rPr>
                <w:rFonts w:ascii="Calibri" w:hAnsi="Calibri" w:cs="Arial"/>
                <w:b/>
                <w:bCs/>
                <w:iCs/>
                <w:szCs w:val="22"/>
              </w:rPr>
            </w:pPr>
            <w:r w:rsidRPr="002C1A44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Koszty rodzajowe</w:t>
            </w:r>
          </w:p>
        </w:tc>
        <w:tc>
          <w:tcPr>
            <w:tcW w:w="1276" w:type="dxa"/>
            <w:vAlign w:val="center"/>
          </w:tcPr>
          <w:p w14:paraId="5C3E435A" w14:textId="51DB3244" w:rsidR="009C1428" w:rsidRPr="00294344" w:rsidRDefault="00B8450F" w:rsidP="007E0A25">
            <w:pPr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>
              <w:rPr>
                <w:rFonts w:ascii="Calibri" w:hAnsi="Calibri" w:cs="Arial"/>
                <w:b/>
                <w:bCs/>
                <w:iCs/>
                <w:sz w:val="20"/>
              </w:rPr>
              <w:t>202</w:t>
            </w:r>
            <w:r w:rsidR="00707893">
              <w:rPr>
                <w:rFonts w:ascii="Calibri" w:hAnsi="Calibri" w:cs="Arial"/>
                <w:b/>
                <w:bCs/>
                <w:iCs/>
                <w:sz w:val="20"/>
              </w:rPr>
              <w:t>3</w:t>
            </w:r>
            <w:r w:rsidR="009C1428" w:rsidRPr="00294344">
              <w:rPr>
                <w:rFonts w:ascii="Calibri" w:hAnsi="Calibri" w:cs="Arial"/>
                <w:b/>
                <w:bCs/>
                <w:iCs/>
                <w:sz w:val="20"/>
              </w:rPr>
              <w:t xml:space="preserve"> r.</w:t>
            </w:r>
            <w:r w:rsidR="009C1428">
              <w:rPr>
                <w:rFonts w:ascii="Calibri" w:hAnsi="Calibri" w:cs="Arial"/>
                <w:b/>
                <w:bCs/>
                <w:iCs/>
                <w:sz w:val="20"/>
              </w:rPr>
              <w:t xml:space="preserve"> </w:t>
            </w:r>
            <w:r w:rsidR="009C1428" w:rsidRPr="00294344">
              <w:rPr>
                <w:rFonts w:ascii="Calibri" w:hAnsi="Calibri" w:cs="Arial"/>
                <w:b/>
                <w:bCs/>
                <w:iCs/>
                <w:sz w:val="20"/>
              </w:rPr>
              <w:t>(zł)</w:t>
            </w:r>
          </w:p>
        </w:tc>
        <w:tc>
          <w:tcPr>
            <w:tcW w:w="1134" w:type="dxa"/>
            <w:vAlign w:val="center"/>
          </w:tcPr>
          <w:p w14:paraId="5BAACB34" w14:textId="6BB10C60" w:rsidR="009C1428" w:rsidRDefault="009A4843" w:rsidP="007E0A25">
            <w:pPr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>
              <w:rPr>
                <w:rFonts w:ascii="Calibri" w:hAnsi="Calibri" w:cs="Arial"/>
                <w:b/>
                <w:bCs/>
                <w:iCs/>
                <w:sz w:val="20"/>
              </w:rPr>
              <w:t>20</w:t>
            </w:r>
            <w:r w:rsidR="00620EC3">
              <w:rPr>
                <w:rFonts w:ascii="Calibri" w:hAnsi="Calibri" w:cs="Arial"/>
                <w:b/>
                <w:bCs/>
                <w:iCs/>
                <w:sz w:val="20"/>
              </w:rPr>
              <w:t>2</w:t>
            </w:r>
            <w:r w:rsidR="00707893">
              <w:rPr>
                <w:rFonts w:ascii="Calibri" w:hAnsi="Calibri" w:cs="Arial"/>
                <w:b/>
                <w:bCs/>
                <w:iCs/>
                <w:sz w:val="20"/>
              </w:rPr>
              <w:t>4</w:t>
            </w:r>
            <w:r w:rsidR="009C1428" w:rsidRPr="00294344">
              <w:rPr>
                <w:rFonts w:ascii="Calibri" w:hAnsi="Calibri" w:cs="Arial"/>
                <w:b/>
                <w:bCs/>
                <w:iCs/>
                <w:sz w:val="20"/>
              </w:rPr>
              <w:t>r.</w:t>
            </w:r>
            <w:r w:rsidR="009C1428">
              <w:rPr>
                <w:rFonts w:ascii="Calibri" w:hAnsi="Calibri" w:cs="Arial"/>
                <w:b/>
                <w:bCs/>
                <w:iCs/>
                <w:sz w:val="20"/>
              </w:rPr>
              <w:t xml:space="preserve"> (zł</w:t>
            </w:r>
            <w:r w:rsidR="009C1428" w:rsidRPr="00294344">
              <w:rPr>
                <w:rFonts w:ascii="Calibri" w:hAnsi="Calibri" w:cs="Arial"/>
                <w:b/>
                <w:bCs/>
                <w:iCs/>
                <w:sz w:val="20"/>
              </w:rPr>
              <w:t>)</w:t>
            </w:r>
          </w:p>
          <w:p w14:paraId="42427F3A" w14:textId="12CBD234" w:rsidR="00C42A39" w:rsidRPr="00294344" w:rsidRDefault="00C42A39" w:rsidP="007E0A25">
            <w:pPr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>
              <w:rPr>
                <w:rFonts w:ascii="Calibri" w:hAnsi="Calibri" w:cs="Arial"/>
                <w:b/>
                <w:bCs/>
                <w:iCs/>
                <w:sz w:val="20"/>
              </w:rPr>
              <w:t>P</w:t>
            </w:r>
            <w:r w:rsidR="00707893">
              <w:rPr>
                <w:rFonts w:ascii="Calibri" w:hAnsi="Calibri" w:cs="Arial"/>
                <w:b/>
                <w:bCs/>
                <w:iCs/>
                <w:sz w:val="20"/>
              </w:rPr>
              <w:t>rognoza</w:t>
            </w:r>
          </w:p>
        </w:tc>
        <w:tc>
          <w:tcPr>
            <w:tcW w:w="778" w:type="dxa"/>
            <w:vAlign w:val="center"/>
          </w:tcPr>
          <w:p w14:paraId="0C17BF25" w14:textId="77777777" w:rsidR="009C1428" w:rsidRPr="00294344" w:rsidRDefault="009C1428" w:rsidP="007E0A25">
            <w:pPr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 w:rsidRPr="00294344">
              <w:rPr>
                <w:rFonts w:ascii="Calibri" w:hAnsi="Calibri" w:cs="Arial"/>
                <w:b/>
                <w:bCs/>
                <w:iCs/>
                <w:sz w:val="20"/>
              </w:rPr>
              <w:t>Dynamika</w:t>
            </w:r>
          </w:p>
          <w:p w14:paraId="060CB793" w14:textId="4674E191" w:rsidR="009C1428" w:rsidRPr="00294344" w:rsidRDefault="009A4843" w:rsidP="007E0A25">
            <w:pPr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>
              <w:rPr>
                <w:rFonts w:ascii="Calibri" w:hAnsi="Calibri" w:cs="Arial"/>
                <w:b/>
                <w:bCs/>
                <w:iCs/>
                <w:sz w:val="20"/>
              </w:rPr>
              <w:t>20</w:t>
            </w:r>
            <w:r w:rsidR="00620EC3">
              <w:rPr>
                <w:rFonts w:ascii="Calibri" w:hAnsi="Calibri" w:cs="Arial"/>
                <w:b/>
                <w:bCs/>
                <w:iCs/>
                <w:sz w:val="20"/>
              </w:rPr>
              <w:t>2</w:t>
            </w:r>
            <w:r w:rsidR="00707893">
              <w:rPr>
                <w:rFonts w:ascii="Calibri" w:hAnsi="Calibri" w:cs="Arial"/>
                <w:b/>
                <w:bCs/>
                <w:iCs/>
                <w:sz w:val="20"/>
              </w:rPr>
              <w:t>4</w:t>
            </w:r>
            <w:r>
              <w:rPr>
                <w:rFonts w:ascii="Calibri" w:hAnsi="Calibri" w:cs="Arial"/>
                <w:b/>
                <w:bCs/>
                <w:iCs/>
                <w:sz w:val="20"/>
              </w:rPr>
              <w:t>/20</w:t>
            </w:r>
            <w:r w:rsidR="00B8450F">
              <w:rPr>
                <w:rFonts w:ascii="Calibri" w:hAnsi="Calibri" w:cs="Arial"/>
                <w:b/>
                <w:bCs/>
                <w:iCs/>
                <w:sz w:val="20"/>
              </w:rPr>
              <w:t>2</w:t>
            </w:r>
            <w:r w:rsidR="00707893">
              <w:rPr>
                <w:rFonts w:ascii="Calibri" w:hAnsi="Calibri" w:cs="Arial"/>
                <w:b/>
                <w:bCs/>
                <w:iCs/>
                <w:sz w:val="20"/>
              </w:rPr>
              <w:t>3</w:t>
            </w:r>
          </w:p>
          <w:p w14:paraId="30EB40AB" w14:textId="77777777" w:rsidR="009C1428" w:rsidRPr="00294344" w:rsidRDefault="009C1428" w:rsidP="007E0A25">
            <w:pPr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>
              <w:rPr>
                <w:rFonts w:ascii="Calibri" w:hAnsi="Calibri" w:cs="Arial"/>
                <w:b/>
                <w:bCs/>
                <w:iCs/>
                <w:sz w:val="20"/>
              </w:rPr>
              <w:t>( %</w:t>
            </w:r>
            <w:r w:rsidRPr="00294344">
              <w:rPr>
                <w:rFonts w:ascii="Calibri" w:hAnsi="Calibri" w:cs="Arial"/>
                <w:b/>
                <w:bCs/>
                <w:iCs/>
                <w:sz w:val="20"/>
              </w:rPr>
              <w:t>)</w:t>
            </w:r>
          </w:p>
        </w:tc>
        <w:tc>
          <w:tcPr>
            <w:tcW w:w="1207" w:type="dxa"/>
            <w:vAlign w:val="center"/>
          </w:tcPr>
          <w:p w14:paraId="4C1CB7C9" w14:textId="77777777" w:rsidR="009C1428" w:rsidRPr="00294344" w:rsidRDefault="009C1428" w:rsidP="007E0A25">
            <w:pPr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</w:p>
          <w:p w14:paraId="04C387CB" w14:textId="1167DF33" w:rsidR="009C1428" w:rsidRDefault="009A4843" w:rsidP="007E0A25">
            <w:pPr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>
              <w:rPr>
                <w:rFonts w:ascii="Calibri" w:hAnsi="Calibri" w:cs="Arial"/>
                <w:b/>
                <w:bCs/>
                <w:iCs/>
                <w:sz w:val="20"/>
              </w:rPr>
              <w:t>202</w:t>
            </w:r>
            <w:r w:rsidR="00707893">
              <w:rPr>
                <w:rFonts w:ascii="Calibri" w:hAnsi="Calibri" w:cs="Arial"/>
                <w:b/>
                <w:bCs/>
                <w:iCs/>
                <w:sz w:val="20"/>
              </w:rPr>
              <w:t>5</w:t>
            </w:r>
            <w:r w:rsidR="009C1428" w:rsidRPr="00294344">
              <w:rPr>
                <w:rFonts w:ascii="Calibri" w:hAnsi="Calibri" w:cs="Arial"/>
                <w:b/>
                <w:bCs/>
                <w:iCs/>
                <w:sz w:val="20"/>
              </w:rPr>
              <w:t>(zł)</w:t>
            </w:r>
          </w:p>
          <w:p w14:paraId="5C3D2E31" w14:textId="34874D39" w:rsidR="00C42A39" w:rsidRPr="00294344" w:rsidRDefault="00C42A39" w:rsidP="007E0A25">
            <w:pPr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>
              <w:rPr>
                <w:rFonts w:ascii="Calibri" w:hAnsi="Calibri" w:cs="Arial"/>
                <w:b/>
                <w:bCs/>
                <w:iCs/>
                <w:sz w:val="20"/>
              </w:rPr>
              <w:t>P</w:t>
            </w:r>
            <w:r w:rsidR="00707893">
              <w:rPr>
                <w:rFonts w:ascii="Calibri" w:hAnsi="Calibri" w:cs="Arial"/>
                <w:b/>
                <w:bCs/>
                <w:iCs/>
                <w:sz w:val="20"/>
              </w:rPr>
              <w:t>rognoza</w:t>
            </w:r>
          </w:p>
        </w:tc>
        <w:tc>
          <w:tcPr>
            <w:tcW w:w="924" w:type="dxa"/>
            <w:vAlign w:val="center"/>
          </w:tcPr>
          <w:p w14:paraId="3221F787" w14:textId="77777777" w:rsidR="009C1428" w:rsidRPr="00294344" w:rsidRDefault="009C1428" w:rsidP="007E0A25">
            <w:pPr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 w:rsidRPr="00294344">
              <w:rPr>
                <w:rFonts w:ascii="Calibri" w:hAnsi="Calibri" w:cs="Arial"/>
                <w:b/>
                <w:bCs/>
                <w:iCs/>
                <w:sz w:val="20"/>
              </w:rPr>
              <w:t>Dynamika</w:t>
            </w:r>
          </w:p>
          <w:p w14:paraId="5C21B4D5" w14:textId="1A41E191" w:rsidR="009C1428" w:rsidRPr="00294344" w:rsidRDefault="009A4843" w:rsidP="007E0A25">
            <w:pPr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>
              <w:rPr>
                <w:rFonts w:ascii="Calibri" w:hAnsi="Calibri" w:cs="Arial"/>
                <w:b/>
                <w:bCs/>
                <w:iCs/>
                <w:sz w:val="20"/>
              </w:rPr>
              <w:t>202</w:t>
            </w:r>
            <w:r w:rsidR="00707893">
              <w:rPr>
                <w:rFonts w:ascii="Calibri" w:hAnsi="Calibri" w:cs="Arial"/>
                <w:b/>
                <w:bCs/>
                <w:iCs/>
                <w:sz w:val="20"/>
              </w:rPr>
              <w:t>5</w:t>
            </w:r>
            <w:r>
              <w:rPr>
                <w:rFonts w:ascii="Calibri" w:hAnsi="Calibri" w:cs="Arial"/>
                <w:b/>
                <w:bCs/>
                <w:iCs/>
                <w:sz w:val="20"/>
              </w:rPr>
              <w:t>/ 20</w:t>
            </w:r>
            <w:r w:rsidR="00CC2603">
              <w:rPr>
                <w:rFonts w:ascii="Calibri" w:hAnsi="Calibri" w:cs="Arial"/>
                <w:b/>
                <w:bCs/>
                <w:iCs/>
                <w:sz w:val="20"/>
              </w:rPr>
              <w:t>2</w:t>
            </w:r>
            <w:r w:rsidR="00707893">
              <w:rPr>
                <w:rFonts w:ascii="Calibri" w:hAnsi="Calibri" w:cs="Arial"/>
                <w:b/>
                <w:bCs/>
                <w:iCs/>
                <w:sz w:val="20"/>
              </w:rPr>
              <w:t>4</w:t>
            </w:r>
          </w:p>
          <w:p w14:paraId="14233177" w14:textId="77777777" w:rsidR="009C1428" w:rsidRPr="00294344" w:rsidRDefault="009C1428" w:rsidP="007E0A25">
            <w:pPr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>
              <w:rPr>
                <w:rFonts w:ascii="Calibri" w:hAnsi="Calibri" w:cs="Arial"/>
                <w:b/>
                <w:bCs/>
                <w:iCs/>
                <w:sz w:val="20"/>
              </w:rPr>
              <w:t>( %</w:t>
            </w:r>
            <w:r w:rsidRPr="00294344">
              <w:rPr>
                <w:rFonts w:ascii="Calibri" w:hAnsi="Calibri" w:cs="Arial"/>
                <w:b/>
                <w:bCs/>
                <w:iCs/>
                <w:sz w:val="20"/>
              </w:rPr>
              <w:t>)</w:t>
            </w:r>
          </w:p>
        </w:tc>
        <w:tc>
          <w:tcPr>
            <w:tcW w:w="1202" w:type="dxa"/>
            <w:vAlign w:val="center"/>
          </w:tcPr>
          <w:p w14:paraId="252D4CCB" w14:textId="59182CB1" w:rsidR="009C1428" w:rsidRDefault="009A4843" w:rsidP="007E0A25">
            <w:pPr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>
              <w:rPr>
                <w:rFonts w:ascii="Calibri" w:hAnsi="Calibri" w:cs="Arial"/>
                <w:b/>
                <w:bCs/>
                <w:iCs/>
                <w:sz w:val="20"/>
              </w:rPr>
              <w:t>202</w:t>
            </w:r>
            <w:r w:rsidR="00707893">
              <w:rPr>
                <w:rFonts w:ascii="Calibri" w:hAnsi="Calibri" w:cs="Arial"/>
                <w:b/>
                <w:bCs/>
                <w:iCs/>
                <w:sz w:val="20"/>
              </w:rPr>
              <w:t>6</w:t>
            </w:r>
            <w:r w:rsidR="009C1428" w:rsidRPr="00294344">
              <w:rPr>
                <w:rFonts w:ascii="Calibri" w:hAnsi="Calibri" w:cs="Arial"/>
                <w:b/>
                <w:bCs/>
                <w:iCs/>
                <w:sz w:val="20"/>
              </w:rPr>
              <w:t>r.</w:t>
            </w:r>
            <w:r w:rsidR="009C1428">
              <w:rPr>
                <w:rFonts w:ascii="Calibri" w:hAnsi="Calibri" w:cs="Arial"/>
                <w:b/>
                <w:bCs/>
                <w:iCs/>
                <w:sz w:val="20"/>
              </w:rPr>
              <w:t xml:space="preserve"> (zł)</w:t>
            </w:r>
          </w:p>
          <w:p w14:paraId="55E7C1D1" w14:textId="467F7BE0" w:rsidR="00C42A39" w:rsidRPr="00294344" w:rsidRDefault="00C42A39" w:rsidP="007E0A25">
            <w:pPr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>
              <w:rPr>
                <w:rFonts w:ascii="Calibri" w:hAnsi="Calibri" w:cs="Arial"/>
                <w:b/>
                <w:bCs/>
                <w:iCs/>
                <w:sz w:val="20"/>
              </w:rPr>
              <w:t>P</w:t>
            </w:r>
            <w:r w:rsidR="00707893">
              <w:rPr>
                <w:rFonts w:ascii="Calibri" w:hAnsi="Calibri" w:cs="Arial"/>
                <w:b/>
                <w:bCs/>
                <w:iCs/>
                <w:sz w:val="20"/>
              </w:rPr>
              <w:t>rognoza</w:t>
            </w:r>
          </w:p>
        </w:tc>
        <w:tc>
          <w:tcPr>
            <w:tcW w:w="920" w:type="dxa"/>
            <w:vAlign w:val="center"/>
          </w:tcPr>
          <w:p w14:paraId="37034000" w14:textId="77777777" w:rsidR="009C1428" w:rsidRPr="00294344" w:rsidRDefault="009C1428" w:rsidP="007E0A25">
            <w:pPr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 w:rsidRPr="00294344">
              <w:rPr>
                <w:rFonts w:ascii="Calibri" w:hAnsi="Calibri" w:cs="Arial"/>
                <w:b/>
                <w:bCs/>
                <w:iCs/>
                <w:sz w:val="20"/>
              </w:rPr>
              <w:t>Dynamika</w:t>
            </w:r>
          </w:p>
          <w:p w14:paraId="12BB0802" w14:textId="1DF11BEE" w:rsidR="009C1428" w:rsidRPr="00294344" w:rsidRDefault="009A4843" w:rsidP="007E0A25">
            <w:pPr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>
              <w:rPr>
                <w:rFonts w:ascii="Calibri" w:hAnsi="Calibri" w:cs="Arial"/>
                <w:b/>
                <w:bCs/>
                <w:iCs/>
                <w:sz w:val="20"/>
              </w:rPr>
              <w:t>202</w:t>
            </w:r>
            <w:r w:rsidR="00707893">
              <w:rPr>
                <w:rFonts w:ascii="Calibri" w:hAnsi="Calibri" w:cs="Arial"/>
                <w:b/>
                <w:bCs/>
                <w:iCs/>
                <w:sz w:val="20"/>
              </w:rPr>
              <w:t>6</w:t>
            </w:r>
            <w:r>
              <w:rPr>
                <w:rFonts w:ascii="Calibri" w:hAnsi="Calibri" w:cs="Arial"/>
                <w:b/>
                <w:bCs/>
                <w:iCs/>
                <w:sz w:val="20"/>
              </w:rPr>
              <w:t>/ 202</w:t>
            </w:r>
            <w:r w:rsidR="00707893">
              <w:rPr>
                <w:rFonts w:ascii="Calibri" w:hAnsi="Calibri" w:cs="Arial"/>
                <w:b/>
                <w:bCs/>
                <w:iCs/>
                <w:sz w:val="20"/>
              </w:rPr>
              <w:t>5</w:t>
            </w:r>
          </w:p>
          <w:p w14:paraId="2C2EFD8F" w14:textId="77777777" w:rsidR="009C1428" w:rsidRPr="00294344" w:rsidRDefault="009C1428" w:rsidP="007E0A25">
            <w:pPr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>
              <w:rPr>
                <w:rFonts w:ascii="Calibri" w:hAnsi="Calibri" w:cs="Arial"/>
                <w:b/>
                <w:bCs/>
                <w:iCs/>
                <w:sz w:val="20"/>
              </w:rPr>
              <w:t>( %</w:t>
            </w:r>
            <w:r w:rsidRPr="00294344">
              <w:rPr>
                <w:rFonts w:ascii="Calibri" w:hAnsi="Calibri" w:cs="Arial"/>
                <w:b/>
                <w:bCs/>
                <w:iCs/>
                <w:sz w:val="20"/>
              </w:rPr>
              <w:t>)</w:t>
            </w:r>
          </w:p>
        </w:tc>
      </w:tr>
      <w:tr w:rsidR="0033433B" w:rsidRPr="0033433B" w14:paraId="37F7B228" w14:textId="77777777" w:rsidTr="00C11D69">
        <w:tc>
          <w:tcPr>
            <w:tcW w:w="1771" w:type="dxa"/>
            <w:vAlign w:val="center"/>
          </w:tcPr>
          <w:p w14:paraId="2F47248B" w14:textId="77777777" w:rsidR="009C1428" w:rsidRPr="0033433B" w:rsidRDefault="009C1428" w:rsidP="007E0A25">
            <w:pPr>
              <w:rPr>
                <w:rFonts w:ascii="Calibri" w:hAnsi="Calibri" w:cs="Arial"/>
                <w:szCs w:val="22"/>
              </w:rPr>
            </w:pPr>
            <w:r w:rsidRPr="0033433B">
              <w:rPr>
                <w:rFonts w:ascii="Calibri" w:hAnsi="Calibri" w:cs="Arial"/>
                <w:sz w:val="22"/>
                <w:szCs w:val="22"/>
              </w:rPr>
              <w:t>Zużycie materiałów i energii</w:t>
            </w:r>
          </w:p>
        </w:tc>
        <w:tc>
          <w:tcPr>
            <w:tcW w:w="1276" w:type="dxa"/>
            <w:vAlign w:val="center"/>
          </w:tcPr>
          <w:p w14:paraId="5751AE67" w14:textId="324C8A05" w:rsidR="009C1428" w:rsidRPr="0033433B" w:rsidRDefault="00D109CB" w:rsidP="007E0A25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805133,08</w:t>
            </w:r>
          </w:p>
        </w:tc>
        <w:tc>
          <w:tcPr>
            <w:tcW w:w="1134" w:type="dxa"/>
            <w:vAlign w:val="center"/>
          </w:tcPr>
          <w:p w14:paraId="739C9150" w14:textId="6740D174" w:rsidR="00D7255E" w:rsidRPr="0033433B" w:rsidRDefault="00D7255E" w:rsidP="00D7255E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882953,00</w:t>
            </w:r>
          </w:p>
        </w:tc>
        <w:tc>
          <w:tcPr>
            <w:tcW w:w="778" w:type="dxa"/>
            <w:vAlign w:val="center"/>
          </w:tcPr>
          <w:p w14:paraId="587F997B" w14:textId="37B0BD88" w:rsidR="009C1428" w:rsidRPr="0033433B" w:rsidRDefault="00033B9F" w:rsidP="007E0A25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109,67</w:t>
            </w:r>
          </w:p>
        </w:tc>
        <w:tc>
          <w:tcPr>
            <w:tcW w:w="1207" w:type="dxa"/>
            <w:vAlign w:val="center"/>
          </w:tcPr>
          <w:p w14:paraId="322FE16C" w14:textId="7E00108E" w:rsidR="009C1428" w:rsidRPr="0033433B" w:rsidRDefault="00C1784F" w:rsidP="007E0A25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900000,00</w:t>
            </w:r>
          </w:p>
        </w:tc>
        <w:tc>
          <w:tcPr>
            <w:tcW w:w="924" w:type="dxa"/>
            <w:vAlign w:val="center"/>
          </w:tcPr>
          <w:p w14:paraId="71E7A8A0" w14:textId="65D3436D" w:rsidR="009C1428" w:rsidRPr="0033433B" w:rsidRDefault="00C1784F" w:rsidP="00AE63C3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101,93</w:t>
            </w:r>
          </w:p>
        </w:tc>
        <w:tc>
          <w:tcPr>
            <w:tcW w:w="1202" w:type="dxa"/>
            <w:vAlign w:val="center"/>
          </w:tcPr>
          <w:p w14:paraId="5F3CEB66" w14:textId="02DBF5A6" w:rsidR="009C1428" w:rsidRPr="0033433B" w:rsidRDefault="00C11D69" w:rsidP="007E0A25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1000000,00</w:t>
            </w:r>
          </w:p>
        </w:tc>
        <w:tc>
          <w:tcPr>
            <w:tcW w:w="920" w:type="dxa"/>
            <w:vAlign w:val="center"/>
          </w:tcPr>
          <w:p w14:paraId="3F1F89D6" w14:textId="0B49F409" w:rsidR="009C1428" w:rsidRPr="0033433B" w:rsidRDefault="00C11D69" w:rsidP="007E0A25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111,11</w:t>
            </w:r>
          </w:p>
        </w:tc>
      </w:tr>
      <w:tr w:rsidR="0033433B" w:rsidRPr="0033433B" w14:paraId="3719AB49" w14:textId="77777777" w:rsidTr="00C11D69">
        <w:tc>
          <w:tcPr>
            <w:tcW w:w="1771" w:type="dxa"/>
            <w:vAlign w:val="center"/>
          </w:tcPr>
          <w:p w14:paraId="347A7316" w14:textId="77777777" w:rsidR="009C1428" w:rsidRPr="0033433B" w:rsidRDefault="009C1428" w:rsidP="007E0A25">
            <w:pPr>
              <w:rPr>
                <w:rFonts w:ascii="Calibri" w:hAnsi="Calibri" w:cs="Arial"/>
                <w:szCs w:val="22"/>
              </w:rPr>
            </w:pPr>
            <w:r w:rsidRPr="0033433B">
              <w:rPr>
                <w:rFonts w:ascii="Calibri" w:hAnsi="Calibri" w:cs="Arial"/>
                <w:sz w:val="22"/>
                <w:szCs w:val="22"/>
              </w:rPr>
              <w:t>Usługi obce</w:t>
            </w:r>
          </w:p>
        </w:tc>
        <w:tc>
          <w:tcPr>
            <w:tcW w:w="1276" w:type="dxa"/>
            <w:vAlign w:val="center"/>
          </w:tcPr>
          <w:p w14:paraId="589DE291" w14:textId="31DBEE1A" w:rsidR="009C1428" w:rsidRPr="0033433B" w:rsidRDefault="00D109CB" w:rsidP="007E0A25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4506100,08</w:t>
            </w:r>
          </w:p>
        </w:tc>
        <w:tc>
          <w:tcPr>
            <w:tcW w:w="1134" w:type="dxa"/>
            <w:vAlign w:val="center"/>
          </w:tcPr>
          <w:p w14:paraId="3C09AAC5" w14:textId="6372A0E9" w:rsidR="009C1428" w:rsidRPr="0033433B" w:rsidRDefault="00D7255E" w:rsidP="007E0A25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4766439,80</w:t>
            </w:r>
          </w:p>
        </w:tc>
        <w:tc>
          <w:tcPr>
            <w:tcW w:w="778" w:type="dxa"/>
            <w:vAlign w:val="center"/>
          </w:tcPr>
          <w:p w14:paraId="59E91617" w14:textId="26E23793" w:rsidR="009C1428" w:rsidRPr="0033433B" w:rsidRDefault="00033B9F" w:rsidP="007E0A25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105,78</w:t>
            </w:r>
          </w:p>
        </w:tc>
        <w:tc>
          <w:tcPr>
            <w:tcW w:w="1207" w:type="dxa"/>
            <w:vAlign w:val="center"/>
          </w:tcPr>
          <w:p w14:paraId="5E0157FB" w14:textId="60005DE1" w:rsidR="00BF11D7" w:rsidRPr="0033433B" w:rsidRDefault="00C1784F" w:rsidP="00AE63C3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5200000,00</w:t>
            </w:r>
          </w:p>
        </w:tc>
        <w:tc>
          <w:tcPr>
            <w:tcW w:w="924" w:type="dxa"/>
            <w:vAlign w:val="center"/>
          </w:tcPr>
          <w:p w14:paraId="74991A09" w14:textId="1FAD8866" w:rsidR="009C1428" w:rsidRPr="0033433B" w:rsidRDefault="00C1784F" w:rsidP="007E0A25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109,10</w:t>
            </w:r>
          </w:p>
        </w:tc>
        <w:tc>
          <w:tcPr>
            <w:tcW w:w="1202" w:type="dxa"/>
            <w:vAlign w:val="center"/>
          </w:tcPr>
          <w:p w14:paraId="3088D404" w14:textId="4C2D4751" w:rsidR="009C1428" w:rsidRPr="0033433B" w:rsidRDefault="00C11D69" w:rsidP="007E0A25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5300000,00</w:t>
            </w:r>
          </w:p>
        </w:tc>
        <w:tc>
          <w:tcPr>
            <w:tcW w:w="920" w:type="dxa"/>
            <w:vAlign w:val="center"/>
          </w:tcPr>
          <w:p w14:paraId="0C3A63F7" w14:textId="48DC7720" w:rsidR="009C1428" w:rsidRPr="0033433B" w:rsidRDefault="00C11D69" w:rsidP="007E0A25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101,92</w:t>
            </w:r>
          </w:p>
        </w:tc>
      </w:tr>
      <w:tr w:rsidR="0033433B" w:rsidRPr="0033433B" w14:paraId="45CF1632" w14:textId="77777777" w:rsidTr="00C11D69">
        <w:tc>
          <w:tcPr>
            <w:tcW w:w="1771" w:type="dxa"/>
            <w:vAlign w:val="center"/>
          </w:tcPr>
          <w:p w14:paraId="6ECCDDF8" w14:textId="77777777" w:rsidR="009C1428" w:rsidRPr="0033433B" w:rsidRDefault="009C1428" w:rsidP="007E0A25">
            <w:pPr>
              <w:rPr>
                <w:rFonts w:ascii="Calibri" w:hAnsi="Calibri" w:cs="Arial"/>
                <w:szCs w:val="22"/>
              </w:rPr>
            </w:pPr>
            <w:r w:rsidRPr="0033433B">
              <w:rPr>
                <w:rFonts w:ascii="Calibri" w:hAnsi="Calibri" w:cs="Arial"/>
                <w:sz w:val="22"/>
                <w:szCs w:val="22"/>
              </w:rPr>
              <w:t>Podatki i opłaty</w:t>
            </w:r>
          </w:p>
        </w:tc>
        <w:tc>
          <w:tcPr>
            <w:tcW w:w="1276" w:type="dxa"/>
            <w:vAlign w:val="center"/>
          </w:tcPr>
          <w:p w14:paraId="446C53C0" w14:textId="7455120C" w:rsidR="009C1428" w:rsidRPr="0033433B" w:rsidRDefault="00D109CB" w:rsidP="007E0A25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243987,12</w:t>
            </w:r>
          </w:p>
        </w:tc>
        <w:tc>
          <w:tcPr>
            <w:tcW w:w="1134" w:type="dxa"/>
            <w:vAlign w:val="center"/>
          </w:tcPr>
          <w:p w14:paraId="0AD5D2E1" w14:textId="482B435F" w:rsidR="009C1428" w:rsidRPr="0033433B" w:rsidRDefault="00D7255E" w:rsidP="007E0A25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244850,00</w:t>
            </w:r>
          </w:p>
        </w:tc>
        <w:tc>
          <w:tcPr>
            <w:tcW w:w="778" w:type="dxa"/>
            <w:vAlign w:val="center"/>
          </w:tcPr>
          <w:p w14:paraId="4807CB51" w14:textId="5DB5B47B" w:rsidR="009C1428" w:rsidRPr="0033433B" w:rsidRDefault="00033B9F" w:rsidP="007E0A25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100,35</w:t>
            </w:r>
          </w:p>
        </w:tc>
        <w:tc>
          <w:tcPr>
            <w:tcW w:w="1207" w:type="dxa"/>
            <w:vAlign w:val="center"/>
          </w:tcPr>
          <w:p w14:paraId="6E0FCA80" w14:textId="47609300" w:rsidR="009C1428" w:rsidRPr="0033433B" w:rsidRDefault="00C1784F" w:rsidP="007E0A25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300000,00</w:t>
            </w:r>
          </w:p>
        </w:tc>
        <w:tc>
          <w:tcPr>
            <w:tcW w:w="924" w:type="dxa"/>
            <w:vAlign w:val="center"/>
          </w:tcPr>
          <w:p w14:paraId="6ED875CD" w14:textId="40397E5B" w:rsidR="00EB22E0" w:rsidRPr="0033433B" w:rsidRDefault="00C1784F" w:rsidP="007E0A25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122,52</w:t>
            </w:r>
          </w:p>
        </w:tc>
        <w:tc>
          <w:tcPr>
            <w:tcW w:w="1202" w:type="dxa"/>
            <w:vAlign w:val="center"/>
          </w:tcPr>
          <w:p w14:paraId="012C297F" w14:textId="1CFB8626" w:rsidR="009C1428" w:rsidRPr="0033433B" w:rsidRDefault="00C11D69" w:rsidP="007E0A25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350000,00</w:t>
            </w:r>
          </w:p>
        </w:tc>
        <w:tc>
          <w:tcPr>
            <w:tcW w:w="920" w:type="dxa"/>
            <w:vAlign w:val="center"/>
          </w:tcPr>
          <w:p w14:paraId="16408F88" w14:textId="6E015535" w:rsidR="009C1428" w:rsidRPr="0033433B" w:rsidRDefault="00C11D69" w:rsidP="007E0A25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116,67</w:t>
            </w:r>
          </w:p>
        </w:tc>
      </w:tr>
      <w:tr w:rsidR="0033433B" w:rsidRPr="0033433B" w14:paraId="089EDD77" w14:textId="77777777" w:rsidTr="00C11D69">
        <w:tc>
          <w:tcPr>
            <w:tcW w:w="1771" w:type="dxa"/>
            <w:vAlign w:val="center"/>
          </w:tcPr>
          <w:p w14:paraId="34934D93" w14:textId="77777777" w:rsidR="009C1428" w:rsidRPr="0033433B" w:rsidRDefault="009C1428" w:rsidP="007E0A25">
            <w:pPr>
              <w:rPr>
                <w:rFonts w:ascii="Calibri" w:hAnsi="Calibri" w:cs="Arial"/>
                <w:szCs w:val="22"/>
              </w:rPr>
            </w:pPr>
            <w:r w:rsidRPr="0033433B">
              <w:rPr>
                <w:rFonts w:ascii="Calibri" w:hAnsi="Calibri" w:cs="Arial"/>
                <w:sz w:val="22"/>
                <w:szCs w:val="22"/>
              </w:rPr>
              <w:t>Wynagrodzenia</w:t>
            </w:r>
          </w:p>
        </w:tc>
        <w:tc>
          <w:tcPr>
            <w:tcW w:w="1276" w:type="dxa"/>
            <w:vAlign w:val="center"/>
          </w:tcPr>
          <w:p w14:paraId="1213D4A0" w14:textId="56B7B237" w:rsidR="009C1428" w:rsidRPr="0033433B" w:rsidRDefault="00D109CB" w:rsidP="007E0A25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7064204,09</w:t>
            </w:r>
          </w:p>
        </w:tc>
        <w:tc>
          <w:tcPr>
            <w:tcW w:w="1134" w:type="dxa"/>
            <w:vAlign w:val="center"/>
          </w:tcPr>
          <w:p w14:paraId="1DD0B7E6" w14:textId="47B6F1E8" w:rsidR="009C1428" w:rsidRPr="0033433B" w:rsidRDefault="00D7255E" w:rsidP="007E0A25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7772631,00</w:t>
            </w:r>
          </w:p>
        </w:tc>
        <w:tc>
          <w:tcPr>
            <w:tcW w:w="778" w:type="dxa"/>
            <w:vAlign w:val="center"/>
          </w:tcPr>
          <w:p w14:paraId="6B2BA7C0" w14:textId="7952DA88" w:rsidR="009C1428" w:rsidRPr="0033433B" w:rsidRDefault="00033B9F" w:rsidP="007E0A25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110,03</w:t>
            </w:r>
          </w:p>
        </w:tc>
        <w:tc>
          <w:tcPr>
            <w:tcW w:w="1207" w:type="dxa"/>
            <w:vAlign w:val="center"/>
          </w:tcPr>
          <w:p w14:paraId="04CF6F9C" w14:textId="22284ED7" w:rsidR="009C1428" w:rsidRPr="0033433B" w:rsidRDefault="00C1784F" w:rsidP="009C4E6B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8153200,00</w:t>
            </w:r>
          </w:p>
        </w:tc>
        <w:tc>
          <w:tcPr>
            <w:tcW w:w="924" w:type="dxa"/>
            <w:vAlign w:val="center"/>
          </w:tcPr>
          <w:p w14:paraId="24F954B8" w14:textId="4FED93F2" w:rsidR="009C1428" w:rsidRPr="0033433B" w:rsidRDefault="00C1784F" w:rsidP="007E0A25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104,90</w:t>
            </w:r>
          </w:p>
        </w:tc>
        <w:tc>
          <w:tcPr>
            <w:tcW w:w="1202" w:type="dxa"/>
            <w:vAlign w:val="center"/>
          </w:tcPr>
          <w:p w14:paraId="0C33CE4B" w14:textId="232A9C39" w:rsidR="009C1428" w:rsidRPr="0033433B" w:rsidRDefault="00C11D69" w:rsidP="007E0A25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8200000,00</w:t>
            </w:r>
          </w:p>
        </w:tc>
        <w:tc>
          <w:tcPr>
            <w:tcW w:w="920" w:type="dxa"/>
            <w:vAlign w:val="center"/>
          </w:tcPr>
          <w:p w14:paraId="3A7DD69B" w14:textId="3C227DD6" w:rsidR="009C1428" w:rsidRPr="0033433B" w:rsidRDefault="00C11D69" w:rsidP="007E0A25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100,57</w:t>
            </w:r>
          </w:p>
        </w:tc>
      </w:tr>
      <w:tr w:rsidR="0033433B" w:rsidRPr="0033433B" w14:paraId="399F5FED" w14:textId="77777777" w:rsidTr="00C11D69">
        <w:tc>
          <w:tcPr>
            <w:tcW w:w="1771" w:type="dxa"/>
            <w:vAlign w:val="center"/>
          </w:tcPr>
          <w:p w14:paraId="51A2D9F3" w14:textId="77777777" w:rsidR="009C1428" w:rsidRPr="0033433B" w:rsidRDefault="009C1428" w:rsidP="007E0A25">
            <w:pPr>
              <w:rPr>
                <w:rFonts w:ascii="Calibri" w:hAnsi="Calibri" w:cs="Arial"/>
                <w:szCs w:val="22"/>
              </w:rPr>
            </w:pPr>
            <w:r w:rsidRPr="0033433B">
              <w:rPr>
                <w:rFonts w:ascii="Calibri" w:hAnsi="Calibri" w:cs="Arial"/>
                <w:sz w:val="22"/>
                <w:szCs w:val="22"/>
              </w:rPr>
              <w:t>Ubezpieczenia społeczne i inne świadczenia</w:t>
            </w:r>
          </w:p>
        </w:tc>
        <w:tc>
          <w:tcPr>
            <w:tcW w:w="1276" w:type="dxa"/>
            <w:vAlign w:val="center"/>
          </w:tcPr>
          <w:p w14:paraId="6F901033" w14:textId="544A625F" w:rsidR="009C1428" w:rsidRPr="0033433B" w:rsidRDefault="00D109CB" w:rsidP="007E0A25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1380353,13</w:t>
            </w:r>
          </w:p>
        </w:tc>
        <w:tc>
          <w:tcPr>
            <w:tcW w:w="1134" w:type="dxa"/>
            <w:vAlign w:val="center"/>
          </w:tcPr>
          <w:p w14:paraId="04CA54F7" w14:textId="37C0DC01" w:rsidR="009C1428" w:rsidRPr="0033433B" w:rsidRDefault="00D7255E" w:rsidP="007E0A25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1439000,00</w:t>
            </w:r>
          </w:p>
        </w:tc>
        <w:tc>
          <w:tcPr>
            <w:tcW w:w="778" w:type="dxa"/>
            <w:vAlign w:val="center"/>
          </w:tcPr>
          <w:p w14:paraId="612A3283" w14:textId="1CF6DAD7" w:rsidR="009C1428" w:rsidRPr="0033433B" w:rsidRDefault="00033B9F" w:rsidP="00E234FE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104,25</w:t>
            </w:r>
          </w:p>
        </w:tc>
        <w:tc>
          <w:tcPr>
            <w:tcW w:w="1207" w:type="dxa"/>
            <w:vAlign w:val="center"/>
          </w:tcPr>
          <w:p w14:paraId="2AE0C0EE" w14:textId="2A6F61C6" w:rsidR="009C1428" w:rsidRPr="0033433B" w:rsidRDefault="00C1784F" w:rsidP="007E0A25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1890000,00</w:t>
            </w:r>
          </w:p>
        </w:tc>
        <w:tc>
          <w:tcPr>
            <w:tcW w:w="924" w:type="dxa"/>
            <w:vAlign w:val="center"/>
          </w:tcPr>
          <w:p w14:paraId="0B562F2C" w14:textId="39552093" w:rsidR="009C1428" w:rsidRPr="0033433B" w:rsidRDefault="00C1784F" w:rsidP="007E0A25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131,34</w:t>
            </w:r>
          </w:p>
        </w:tc>
        <w:tc>
          <w:tcPr>
            <w:tcW w:w="1202" w:type="dxa"/>
            <w:vAlign w:val="center"/>
          </w:tcPr>
          <w:p w14:paraId="045C741E" w14:textId="32DAE8BC" w:rsidR="009C1428" w:rsidRPr="0033433B" w:rsidRDefault="00C11D69" w:rsidP="007E0A25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1910000,00</w:t>
            </w:r>
          </w:p>
        </w:tc>
        <w:tc>
          <w:tcPr>
            <w:tcW w:w="920" w:type="dxa"/>
            <w:vAlign w:val="center"/>
          </w:tcPr>
          <w:p w14:paraId="69DF6129" w14:textId="05AC8C70" w:rsidR="009C1428" w:rsidRPr="0033433B" w:rsidRDefault="00C11D69" w:rsidP="007E0A25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101,05</w:t>
            </w:r>
          </w:p>
        </w:tc>
      </w:tr>
      <w:tr w:rsidR="0033433B" w:rsidRPr="0033433B" w14:paraId="06832C02" w14:textId="77777777" w:rsidTr="00C11D69">
        <w:tc>
          <w:tcPr>
            <w:tcW w:w="1771" w:type="dxa"/>
            <w:vAlign w:val="center"/>
          </w:tcPr>
          <w:p w14:paraId="322FCE81" w14:textId="77777777" w:rsidR="009C1428" w:rsidRPr="0033433B" w:rsidRDefault="009C1428" w:rsidP="007E0A25">
            <w:pPr>
              <w:rPr>
                <w:rFonts w:ascii="Calibri" w:hAnsi="Calibri" w:cs="Arial"/>
                <w:szCs w:val="22"/>
              </w:rPr>
            </w:pPr>
            <w:r w:rsidRPr="0033433B">
              <w:rPr>
                <w:rFonts w:ascii="Calibri" w:hAnsi="Calibri" w:cs="Arial"/>
                <w:sz w:val="22"/>
                <w:szCs w:val="22"/>
              </w:rPr>
              <w:t>Amortyzacja</w:t>
            </w:r>
          </w:p>
        </w:tc>
        <w:tc>
          <w:tcPr>
            <w:tcW w:w="1276" w:type="dxa"/>
            <w:vAlign w:val="center"/>
          </w:tcPr>
          <w:p w14:paraId="6F1208AC" w14:textId="529A5AA7" w:rsidR="009C1428" w:rsidRPr="0033433B" w:rsidRDefault="00D109CB" w:rsidP="007E0A25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622516,62</w:t>
            </w:r>
          </w:p>
        </w:tc>
        <w:tc>
          <w:tcPr>
            <w:tcW w:w="1134" w:type="dxa"/>
            <w:vAlign w:val="center"/>
          </w:tcPr>
          <w:p w14:paraId="21E39836" w14:textId="02C6AE29" w:rsidR="009C1428" w:rsidRPr="0033433B" w:rsidRDefault="00D7255E" w:rsidP="007E0A25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555000,00</w:t>
            </w:r>
          </w:p>
        </w:tc>
        <w:tc>
          <w:tcPr>
            <w:tcW w:w="778" w:type="dxa"/>
            <w:vAlign w:val="center"/>
          </w:tcPr>
          <w:p w14:paraId="33530E7C" w14:textId="07400F6D" w:rsidR="009C1428" w:rsidRPr="0033433B" w:rsidRDefault="00033B9F" w:rsidP="007E0A25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89,15</w:t>
            </w:r>
          </w:p>
        </w:tc>
        <w:tc>
          <w:tcPr>
            <w:tcW w:w="1207" w:type="dxa"/>
            <w:vAlign w:val="center"/>
          </w:tcPr>
          <w:p w14:paraId="145F6DBC" w14:textId="2DCD8CFA" w:rsidR="009C1428" w:rsidRPr="0033433B" w:rsidRDefault="00C1784F" w:rsidP="007E0A25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500000,00</w:t>
            </w:r>
          </w:p>
        </w:tc>
        <w:tc>
          <w:tcPr>
            <w:tcW w:w="924" w:type="dxa"/>
            <w:vAlign w:val="center"/>
          </w:tcPr>
          <w:p w14:paraId="2C01921A" w14:textId="63F13D57" w:rsidR="00EB22E0" w:rsidRPr="0033433B" w:rsidRDefault="007B00CA" w:rsidP="007E0A25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90,91</w:t>
            </w:r>
          </w:p>
        </w:tc>
        <w:tc>
          <w:tcPr>
            <w:tcW w:w="1202" w:type="dxa"/>
            <w:vAlign w:val="center"/>
          </w:tcPr>
          <w:p w14:paraId="534EA9E3" w14:textId="52155761" w:rsidR="009C1428" w:rsidRPr="0033433B" w:rsidRDefault="00C11D69" w:rsidP="007E0A25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525000,00</w:t>
            </w:r>
          </w:p>
        </w:tc>
        <w:tc>
          <w:tcPr>
            <w:tcW w:w="920" w:type="dxa"/>
            <w:vAlign w:val="center"/>
          </w:tcPr>
          <w:p w14:paraId="0BD85D62" w14:textId="327C82AC" w:rsidR="009C1428" w:rsidRPr="0033433B" w:rsidRDefault="00C11D69" w:rsidP="007E0A25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105,00</w:t>
            </w:r>
          </w:p>
        </w:tc>
      </w:tr>
      <w:tr w:rsidR="0033433B" w:rsidRPr="0033433B" w14:paraId="0256EDF8" w14:textId="77777777" w:rsidTr="00C11D69">
        <w:tc>
          <w:tcPr>
            <w:tcW w:w="1771" w:type="dxa"/>
            <w:vAlign w:val="center"/>
          </w:tcPr>
          <w:p w14:paraId="713BED10" w14:textId="77777777" w:rsidR="009C1428" w:rsidRPr="0033433B" w:rsidRDefault="009C1428" w:rsidP="007E0A25">
            <w:pPr>
              <w:rPr>
                <w:rFonts w:ascii="Calibri" w:hAnsi="Calibri" w:cs="Arial"/>
                <w:szCs w:val="22"/>
              </w:rPr>
            </w:pPr>
            <w:r w:rsidRPr="0033433B">
              <w:rPr>
                <w:rFonts w:ascii="Calibri" w:hAnsi="Calibri" w:cs="Arial"/>
                <w:sz w:val="22"/>
                <w:szCs w:val="22"/>
              </w:rPr>
              <w:t>Pozostałe koszty rodzajowe</w:t>
            </w:r>
          </w:p>
        </w:tc>
        <w:tc>
          <w:tcPr>
            <w:tcW w:w="1276" w:type="dxa"/>
            <w:vAlign w:val="center"/>
          </w:tcPr>
          <w:p w14:paraId="230282B0" w14:textId="38AF886D" w:rsidR="009C1428" w:rsidRPr="0033433B" w:rsidRDefault="00D109CB" w:rsidP="007E0A25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24103,90</w:t>
            </w:r>
          </w:p>
        </w:tc>
        <w:tc>
          <w:tcPr>
            <w:tcW w:w="1134" w:type="dxa"/>
            <w:vAlign w:val="center"/>
          </w:tcPr>
          <w:p w14:paraId="325C67CA" w14:textId="7089688E" w:rsidR="009C1428" w:rsidRPr="0033433B" w:rsidRDefault="00D7255E" w:rsidP="007E0A25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36500,00</w:t>
            </w:r>
          </w:p>
        </w:tc>
        <w:tc>
          <w:tcPr>
            <w:tcW w:w="778" w:type="dxa"/>
            <w:vAlign w:val="center"/>
          </w:tcPr>
          <w:p w14:paraId="1E067FA9" w14:textId="721F6BBC" w:rsidR="009C1428" w:rsidRPr="0033433B" w:rsidRDefault="00033B9F" w:rsidP="007E0A25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151,43</w:t>
            </w:r>
          </w:p>
        </w:tc>
        <w:tc>
          <w:tcPr>
            <w:tcW w:w="1207" w:type="dxa"/>
            <w:vAlign w:val="center"/>
          </w:tcPr>
          <w:p w14:paraId="7A5C309C" w14:textId="5D325166" w:rsidR="009C1428" w:rsidRPr="0033433B" w:rsidRDefault="00C1784F" w:rsidP="007E0A25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50000,00</w:t>
            </w:r>
          </w:p>
        </w:tc>
        <w:tc>
          <w:tcPr>
            <w:tcW w:w="924" w:type="dxa"/>
            <w:vAlign w:val="center"/>
          </w:tcPr>
          <w:p w14:paraId="3DC1D60B" w14:textId="47E34909" w:rsidR="009C1428" w:rsidRPr="0033433B" w:rsidRDefault="007B00CA" w:rsidP="007E0A25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138,89</w:t>
            </w:r>
          </w:p>
        </w:tc>
        <w:tc>
          <w:tcPr>
            <w:tcW w:w="1202" w:type="dxa"/>
            <w:vAlign w:val="center"/>
          </w:tcPr>
          <w:p w14:paraId="503D4A1F" w14:textId="15B8ABB7" w:rsidR="009C1428" w:rsidRPr="0033433B" w:rsidRDefault="00C11D69" w:rsidP="007E0A25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50000,00</w:t>
            </w:r>
          </w:p>
        </w:tc>
        <w:tc>
          <w:tcPr>
            <w:tcW w:w="920" w:type="dxa"/>
            <w:vAlign w:val="center"/>
          </w:tcPr>
          <w:p w14:paraId="5A517734" w14:textId="5D6881CC" w:rsidR="009C1428" w:rsidRPr="0033433B" w:rsidRDefault="00C11D69" w:rsidP="007E0A25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100,00</w:t>
            </w:r>
          </w:p>
        </w:tc>
      </w:tr>
      <w:tr w:rsidR="009C1428" w:rsidRPr="0033433B" w14:paraId="2AADCCBB" w14:textId="77777777" w:rsidTr="00C11D69">
        <w:tc>
          <w:tcPr>
            <w:tcW w:w="1771" w:type="dxa"/>
            <w:vAlign w:val="center"/>
          </w:tcPr>
          <w:p w14:paraId="5BF40208" w14:textId="77777777" w:rsidR="009C1428" w:rsidRPr="0033433B" w:rsidRDefault="009C1428" w:rsidP="007E0A25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33433B">
              <w:rPr>
                <w:rFonts w:ascii="Calibri" w:hAnsi="Calibri" w:cs="Arial"/>
                <w:b/>
                <w:bCs/>
                <w:sz w:val="22"/>
                <w:szCs w:val="22"/>
              </w:rPr>
              <w:t>Razem koszty rodzajowe</w:t>
            </w:r>
          </w:p>
        </w:tc>
        <w:tc>
          <w:tcPr>
            <w:tcW w:w="1276" w:type="dxa"/>
            <w:vAlign w:val="center"/>
          </w:tcPr>
          <w:p w14:paraId="3AFEDCED" w14:textId="3871A52C" w:rsidR="009C1428" w:rsidRPr="008053D2" w:rsidRDefault="00D109CB" w:rsidP="007E0A25">
            <w:pPr>
              <w:jc w:val="right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14646398,22</w:t>
            </w:r>
          </w:p>
        </w:tc>
        <w:tc>
          <w:tcPr>
            <w:tcW w:w="1134" w:type="dxa"/>
            <w:vAlign w:val="center"/>
          </w:tcPr>
          <w:p w14:paraId="5E6E4FC8" w14:textId="344CAD1B" w:rsidR="009C1428" w:rsidRPr="0033433B" w:rsidRDefault="00033B9F" w:rsidP="007E0A25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15697373,80</w:t>
            </w:r>
          </w:p>
        </w:tc>
        <w:tc>
          <w:tcPr>
            <w:tcW w:w="778" w:type="dxa"/>
            <w:vAlign w:val="center"/>
          </w:tcPr>
          <w:p w14:paraId="48F783C6" w14:textId="2D7DD56D" w:rsidR="00831AD9" w:rsidRPr="0033433B" w:rsidRDefault="00033B9F" w:rsidP="007E0A25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107,18</w:t>
            </w:r>
          </w:p>
        </w:tc>
        <w:tc>
          <w:tcPr>
            <w:tcW w:w="1207" w:type="dxa"/>
            <w:vAlign w:val="center"/>
          </w:tcPr>
          <w:p w14:paraId="5A870DC8" w14:textId="1E5E7B1A" w:rsidR="009C1428" w:rsidRPr="00C11D69" w:rsidRDefault="00C1784F" w:rsidP="007E0A25">
            <w:pPr>
              <w:jc w:val="right"/>
              <w:rPr>
                <w:rFonts w:ascii="Calibri" w:hAnsi="Calibri"/>
                <w:b/>
                <w:sz w:val="20"/>
              </w:rPr>
            </w:pPr>
            <w:r w:rsidRPr="00C11D69">
              <w:rPr>
                <w:rFonts w:ascii="Calibri" w:hAnsi="Calibri"/>
                <w:sz w:val="20"/>
              </w:rPr>
              <w:t>16993200,00</w:t>
            </w:r>
          </w:p>
        </w:tc>
        <w:tc>
          <w:tcPr>
            <w:tcW w:w="924" w:type="dxa"/>
            <w:vAlign w:val="center"/>
          </w:tcPr>
          <w:p w14:paraId="0A289D1B" w14:textId="607CCA18" w:rsidR="009C1428" w:rsidRPr="0033433B" w:rsidRDefault="007B00CA" w:rsidP="007E0A25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108,26</w:t>
            </w:r>
          </w:p>
        </w:tc>
        <w:tc>
          <w:tcPr>
            <w:tcW w:w="1202" w:type="dxa"/>
            <w:vAlign w:val="center"/>
          </w:tcPr>
          <w:p w14:paraId="531FDA6B" w14:textId="1DBEF147" w:rsidR="009C1428" w:rsidRPr="0033433B" w:rsidRDefault="00C11D69" w:rsidP="007E0A25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17335000,00</w:t>
            </w:r>
          </w:p>
        </w:tc>
        <w:tc>
          <w:tcPr>
            <w:tcW w:w="920" w:type="dxa"/>
            <w:vAlign w:val="center"/>
          </w:tcPr>
          <w:p w14:paraId="080B0AE6" w14:textId="754F2BA1" w:rsidR="009C1428" w:rsidRPr="0033433B" w:rsidRDefault="00C11D69" w:rsidP="007E0A25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102,01</w:t>
            </w:r>
          </w:p>
        </w:tc>
      </w:tr>
    </w:tbl>
    <w:p w14:paraId="6893FE18" w14:textId="77777777" w:rsidR="009C1428" w:rsidRPr="0033433B" w:rsidRDefault="009C1428">
      <w:pPr>
        <w:widowControl/>
        <w:suppressAutoHyphens w:val="0"/>
        <w:jc w:val="both"/>
        <w:rPr>
          <w:b/>
          <w:szCs w:val="24"/>
        </w:rPr>
      </w:pPr>
    </w:p>
    <w:p w14:paraId="115AE693" w14:textId="58BADDBA" w:rsidR="005316DB" w:rsidRDefault="005316DB">
      <w:pPr>
        <w:widowControl/>
        <w:suppressAutoHyphens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4273BF2" w14:textId="77777777" w:rsidR="0035215E" w:rsidRDefault="0035215E" w:rsidP="0035215E">
      <w:pPr>
        <w:rPr>
          <w:b/>
          <w:bCs/>
          <w:sz w:val="28"/>
          <w:szCs w:val="28"/>
        </w:rPr>
      </w:pPr>
      <w:r w:rsidRPr="00D95050">
        <w:rPr>
          <w:b/>
          <w:bCs/>
          <w:sz w:val="28"/>
          <w:szCs w:val="28"/>
        </w:rPr>
        <w:lastRenderedPageBreak/>
        <w:t>Struktura zobowiązań</w:t>
      </w:r>
    </w:p>
    <w:p w14:paraId="30338CC1" w14:textId="77777777" w:rsidR="00F4703C" w:rsidRPr="00D95050" w:rsidRDefault="00F4703C" w:rsidP="0035215E">
      <w:pPr>
        <w:rPr>
          <w:b/>
          <w:bCs/>
          <w:sz w:val="28"/>
          <w:szCs w:val="28"/>
        </w:rPr>
      </w:pPr>
    </w:p>
    <w:p w14:paraId="44AB99C9" w14:textId="77777777" w:rsidR="0035215E" w:rsidRPr="002B5E5A" w:rsidRDefault="0035215E" w:rsidP="0035215E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8"/>
        <w:gridCol w:w="1512"/>
        <w:gridCol w:w="1512"/>
        <w:gridCol w:w="1415"/>
        <w:gridCol w:w="1415"/>
      </w:tblGrid>
      <w:tr w:rsidR="0035215E" w14:paraId="19FB4760" w14:textId="77777777" w:rsidTr="0035215E">
        <w:trPr>
          <w:trHeight w:val="864"/>
        </w:trPr>
        <w:tc>
          <w:tcPr>
            <w:tcW w:w="3358" w:type="dxa"/>
            <w:vAlign w:val="center"/>
          </w:tcPr>
          <w:p w14:paraId="06378D6A" w14:textId="77777777" w:rsidR="0035215E" w:rsidRPr="00210995" w:rsidRDefault="0035215E" w:rsidP="007E0A25">
            <w:pPr>
              <w:rPr>
                <w:rFonts w:ascii="Calibri" w:hAnsi="Calibri" w:cs="Arial"/>
                <w:b/>
                <w:bCs/>
                <w:iCs/>
                <w:szCs w:val="22"/>
              </w:rPr>
            </w:pPr>
          </w:p>
        </w:tc>
        <w:tc>
          <w:tcPr>
            <w:tcW w:w="1512" w:type="dxa"/>
            <w:vAlign w:val="center"/>
          </w:tcPr>
          <w:p w14:paraId="1C38C35F" w14:textId="3E0AEF70" w:rsidR="0035215E" w:rsidRPr="00210995" w:rsidRDefault="009A4843" w:rsidP="007E0A25">
            <w:pPr>
              <w:jc w:val="center"/>
              <w:rPr>
                <w:rFonts w:ascii="Calibri" w:hAnsi="Calibri" w:cs="Arial"/>
                <w:b/>
                <w:bCs/>
                <w:iCs/>
                <w:szCs w:val="22"/>
              </w:rPr>
            </w:pPr>
            <w:r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20</w:t>
            </w:r>
            <w:r w:rsidR="00B8450F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2</w:t>
            </w:r>
            <w:r w:rsidR="00707893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3</w:t>
            </w:r>
            <w:r w:rsidR="0035215E" w:rsidRPr="00210995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r.</w:t>
            </w:r>
            <w:r w:rsidR="0035215E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 xml:space="preserve"> </w:t>
            </w:r>
            <w:r w:rsidR="0035215E" w:rsidRPr="00210995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(</w:t>
            </w:r>
            <w:r w:rsidR="0035215E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zł</w:t>
            </w:r>
            <w:r w:rsidR="0035215E" w:rsidRPr="00210995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1512" w:type="dxa"/>
            <w:vAlign w:val="center"/>
          </w:tcPr>
          <w:p w14:paraId="48ABDF44" w14:textId="76B719AB" w:rsidR="0035215E" w:rsidRDefault="0035215E" w:rsidP="007E0A25">
            <w:pPr>
              <w:jc w:val="center"/>
              <w:rPr>
                <w:rFonts w:ascii="Calibri" w:hAnsi="Calibri" w:cs="Arial"/>
                <w:b/>
                <w:bCs/>
                <w:iCs/>
                <w:szCs w:val="22"/>
              </w:rPr>
            </w:pPr>
            <w:r w:rsidRPr="00210995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20</w:t>
            </w:r>
            <w:r w:rsidR="00022FA3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2</w:t>
            </w:r>
            <w:r w:rsidR="00707893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4</w:t>
            </w:r>
            <w:r w:rsidRPr="00210995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r.</w:t>
            </w:r>
            <w:r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210995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(</w:t>
            </w:r>
            <w:r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zł</w:t>
            </w:r>
            <w:r w:rsidRPr="00210995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)</w:t>
            </w:r>
          </w:p>
          <w:p w14:paraId="04A0FFAF" w14:textId="55C1610A" w:rsidR="00C42A39" w:rsidRPr="00210995" w:rsidRDefault="00C42A39" w:rsidP="007E0A25">
            <w:pPr>
              <w:jc w:val="center"/>
              <w:rPr>
                <w:rFonts w:ascii="Calibri" w:hAnsi="Calibri" w:cs="Arial"/>
                <w:b/>
                <w:bCs/>
                <w:iCs/>
                <w:szCs w:val="22"/>
              </w:rPr>
            </w:pPr>
            <w:r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P</w:t>
            </w:r>
            <w:r w:rsidR="00707893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rognoza</w:t>
            </w:r>
          </w:p>
        </w:tc>
        <w:tc>
          <w:tcPr>
            <w:tcW w:w="1415" w:type="dxa"/>
            <w:vAlign w:val="center"/>
          </w:tcPr>
          <w:p w14:paraId="2F7D9718" w14:textId="08E392CC" w:rsidR="0035215E" w:rsidRDefault="009A4843" w:rsidP="007E0A25">
            <w:pPr>
              <w:jc w:val="center"/>
              <w:rPr>
                <w:rFonts w:ascii="Calibri" w:hAnsi="Calibri" w:cs="Arial"/>
                <w:b/>
                <w:bCs/>
                <w:iCs/>
                <w:szCs w:val="22"/>
              </w:rPr>
            </w:pPr>
            <w:r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202</w:t>
            </w:r>
            <w:r w:rsidR="00707893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5</w:t>
            </w:r>
            <w:r w:rsidR="0035215E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 xml:space="preserve"> r. (zł)</w:t>
            </w:r>
          </w:p>
          <w:p w14:paraId="001A483E" w14:textId="7B8BAE75" w:rsidR="00C42A39" w:rsidRPr="00210995" w:rsidRDefault="00C42A39" w:rsidP="007E0A25">
            <w:pPr>
              <w:jc w:val="center"/>
              <w:rPr>
                <w:rFonts w:ascii="Calibri" w:hAnsi="Calibri" w:cs="Arial"/>
                <w:b/>
                <w:bCs/>
                <w:iCs/>
                <w:szCs w:val="22"/>
              </w:rPr>
            </w:pPr>
            <w:r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P</w:t>
            </w:r>
            <w:r w:rsidR="00707893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rognoza</w:t>
            </w:r>
          </w:p>
        </w:tc>
        <w:tc>
          <w:tcPr>
            <w:tcW w:w="1415" w:type="dxa"/>
            <w:vAlign w:val="center"/>
          </w:tcPr>
          <w:p w14:paraId="0B5221CF" w14:textId="6CA5991F" w:rsidR="0035215E" w:rsidRDefault="009A4843" w:rsidP="007E0A25">
            <w:pPr>
              <w:jc w:val="center"/>
              <w:rPr>
                <w:rFonts w:ascii="Calibri" w:hAnsi="Calibri" w:cs="Arial"/>
                <w:b/>
                <w:bCs/>
                <w:iCs/>
                <w:szCs w:val="22"/>
              </w:rPr>
            </w:pPr>
            <w:r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202</w:t>
            </w:r>
            <w:r w:rsidR="00707893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6</w:t>
            </w:r>
            <w:r w:rsidR="0035215E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r. (zł)</w:t>
            </w:r>
          </w:p>
          <w:p w14:paraId="68E7A6EA" w14:textId="4A6E1358" w:rsidR="00C42A39" w:rsidRPr="00210995" w:rsidRDefault="00C42A39" w:rsidP="007E0A25">
            <w:pPr>
              <w:jc w:val="center"/>
              <w:rPr>
                <w:rFonts w:ascii="Calibri" w:hAnsi="Calibri" w:cs="Arial"/>
                <w:b/>
                <w:bCs/>
                <w:iCs/>
                <w:szCs w:val="22"/>
              </w:rPr>
            </w:pPr>
            <w:r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P</w:t>
            </w:r>
            <w:r w:rsidR="00707893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rognoza</w:t>
            </w:r>
          </w:p>
        </w:tc>
      </w:tr>
      <w:tr w:rsidR="0035215E" w14:paraId="4379924B" w14:textId="77777777" w:rsidTr="0035215E">
        <w:trPr>
          <w:trHeight w:val="403"/>
        </w:trPr>
        <w:tc>
          <w:tcPr>
            <w:tcW w:w="3358" w:type="dxa"/>
            <w:vAlign w:val="center"/>
          </w:tcPr>
          <w:p w14:paraId="57EDF967" w14:textId="77777777" w:rsidR="0035215E" w:rsidRPr="00C10B2A" w:rsidRDefault="0035215E" w:rsidP="007E0A25">
            <w:pPr>
              <w:rPr>
                <w:rFonts w:ascii="Calibri" w:hAnsi="Calibri" w:cs="Arial"/>
                <w:b/>
                <w:szCs w:val="22"/>
              </w:rPr>
            </w:pPr>
            <w:r w:rsidRPr="00C10B2A">
              <w:rPr>
                <w:rFonts w:ascii="Calibri" w:hAnsi="Calibri" w:cs="Arial"/>
                <w:b/>
                <w:sz w:val="22"/>
                <w:szCs w:val="22"/>
              </w:rPr>
              <w:t>Zobowiązania ogółem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w tym:</w:t>
            </w:r>
          </w:p>
        </w:tc>
        <w:tc>
          <w:tcPr>
            <w:tcW w:w="1512" w:type="dxa"/>
            <w:vAlign w:val="center"/>
          </w:tcPr>
          <w:p w14:paraId="5F85C1DA" w14:textId="5FDB7F44" w:rsidR="0035215E" w:rsidRPr="00031A0E" w:rsidRDefault="00D109CB" w:rsidP="007E0A25">
            <w:pPr>
              <w:jc w:val="righ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3965322,51</w:t>
            </w:r>
          </w:p>
        </w:tc>
        <w:tc>
          <w:tcPr>
            <w:tcW w:w="1512" w:type="dxa"/>
            <w:vAlign w:val="center"/>
          </w:tcPr>
          <w:p w14:paraId="296AB571" w14:textId="51B530DF" w:rsidR="0035215E" w:rsidRPr="0033433B" w:rsidRDefault="00033B9F" w:rsidP="007E0A2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3323900,24</w:t>
            </w:r>
          </w:p>
        </w:tc>
        <w:tc>
          <w:tcPr>
            <w:tcW w:w="1415" w:type="dxa"/>
            <w:vAlign w:val="center"/>
          </w:tcPr>
          <w:p w14:paraId="7DBF8371" w14:textId="547A87C5" w:rsidR="0035215E" w:rsidRPr="0033433B" w:rsidRDefault="007B00CA" w:rsidP="007E0A2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3516141,24</w:t>
            </w:r>
          </w:p>
        </w:tc>
        <w:tc>
          <w:tcPr>
            <w:tcW w:w="1415" w:type="dxa"/>
            <w:vAlign w:val="center"/>
          </w:tcPr>
          <w:p w14:paraId="37228C9F" w14:textId="6EB39BAD" w:rsidR="0035215E" w:rsidRPr="0033433B" w:rsidRDefault="00C11D69" w:rsidP="0038206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3515000,00</w:t>
            </w:r>
          </w:p>
        </w:tc>
      </w:tr>
      <w:tr w:rsidR="0035215E" w14:paraId="7CE7AA33" w14:textId="77777777" w:rsidTr="0035215E">
        <w:tc>
          <w:tcPr>
            <w:tcW w:w="3358" w:type="dxa"/>
            <w:vAlign w:val="center"/>
          </w:tcPr>
          <w:p w14:paraId="29EE1B9E" w14:textId="77777777" w:rsidR="0035215E" w:rsidRPr="009F4884" w:rsidRDefault="0035215E" w:rsidP="007E0A25">
            <w:pPr>
              <w:rPr>
                <w:rFonts w:ascii="Calibri" w:hAnsi="Calibri" w:cs="Arial"/>
                <w:szCs w:val="22"/>
              </w:rPr>
            </w:pPr>
            <w:r w:rsidRPr="009F4884">
              <w:rPr>
                <w:rFonts w:ascii="Calibri" w:hAnsi="Calibri" w:cs="Arial"/>
                <w:sz w:val="22"/>
                <w:szCs w:val="22"/>
              </w:rPr>
              <w:t>Zobowiązania długoterminowe</w:t>
            </w:r>
          </w:p>
        </w:tc>
        <w:tc>
          <w:tcPr>
            <w:tcW w:w="1512" w:type="dxa"/>
            <w:vAlign w:val="center"/>
          </w:tcPr>
          <w:p w14:paraId="2EA6441B" w14:textId="02AE2D65" w:rsidR="0035215E" w:rsidRPr="00031A0E" w:rsidRDefault="00D109CB" w:rsidP="007E0A25">
            <w:pPr>
              <w:jc w:val="righ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0</w:t>
            </w:r>
          </w:p>
        </w:tc>
        <w:tc>
          <w:tcPr>
            <w:tcW w:w="1512" w:type="dxa"/>
            <w:vAlign w:val="center"/>
          </w:tcPr>
          <w:p w14:paraId="3B8F9321" w14:textId="2F20AA23" w:rsidR="0035215E" w:rsidRPr="0033433B" w:rsidRDefault="00033B9F" w:rsidP="007E0A2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415" w:type="dxa"/>
            <w:vAlign w:val="center"/>
          </w:tcPr>
          <w:p w14:paraId="0E0C323B" w14:textId="7F1AED08" w:rsidR="0035215E" w:rsidRPr="0033433B" w:rsidRDefault="0035215E" w:rsidP="007E0A25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15" w:type="dxa"/>
            <w:vAlign w:val="center"/>
          </w:tcPr>
          <w:p w14:paraId="04EFC1BA" w14:textId="0409980D" w:rsidR="0035215E" w:rsidRPr="0033433B" w:rsidRDefault="0035215E" w:rsidP="007E0A25">
            <w:pPr>
              <w:jc w:val="right"/>
              <w:rPr>
                <w:rFonts w:ascii="Calibri" w:hAnsi="Calibri"/>
              </w:rPr>
            </w:pPr>
          </w:p>
        </w:tc>
      </w:tr>
      <w:tr w:rsidR="00022FA3" w14:paraId="7FF62118" w14:textId="77777777" w:rsidTr="0035215E">
        <w:tc>
          <w:tcPr>
            <w:tcW w:w="3358" w:type="dxa"/>
            <w:vAlign w:val="center"/>
          </w:tcPr>
          <w:p w14:paraId="5E79581E" w14:textId="77777777" w:rsidR="00022FA3" w:rsidRPr="009F4884" w:rsidRDefault="00022FA3" w:rsidP="007E0A25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Rezerwy na zobowi</w:t>
            </w:r>
            <w:r w:rsidR="00173F64">
              <w:rPr>
                <w:rFonts w:ascii="Calibri" w:hAnsi="Calibri" w:cs="Arial"/>
                <w:sz w:val="22"/>
                <w:szCs w:val="22"/>
              </w:rPr>
              <w:t>ą</w:t>
            </w:r>
            <w:r>
              <w:rPr>
                <w:rFonts w:ascii="Calibri" w:hAnsi="Calibri" w:cs="Arial"/>
                <w:sz w:val="22"/>
                <w:szCs w:val="22"/>
              </w:rPr>
              <w:t>zania</w:t>
            </w:r>
          </w:p>
        </w:tc>
        <w:tc>
          <w:tcPr>
            <w:tcW w:w="1512" w:type="dxa"/>
            <w:vAlign w:val="center"/>
          </w:tcPr>
          <w:p w14:paraId="70365ED2" w14:textId="4A98F004" w:rsidR="00022FA3" w:rsidRPr="00031A0E" w:rsidRDefault="00D109CB" w:rsidP="007E0A25">
            <w:pPr>
              <w:jc w:val="righ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895857,78</w:t>
            </w:r>
          </w:p>
        </w:tc>
        <w:tc>
          <w:tcPr>
            <w:tcW w:w="1512" w:type="dxa"/>
            <w:vAlign w:val="center"/>
          </w:tcPr>
          <w:p w14:paraId="70E09C04" w14:textId="078EDB24" w:rsidR="00022FA3" w:rsidRPr="0033433B" w:rsidRDefault="00033B9F" w:rsidP="007E0A2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560000,00</w:t>
            </w:r>
          </w:p>
        </w:tc>
        <w:tc>
          <w:tcPr>
            <w:tcW w:w="1415" w:type="dxa"/>
            <w:vAlign w:val="center"/>
          </w:tcPr>
          <w:p w14:paraId="73CE3DDC" w14:textId="09FBF978" w:rsidR="00022FA3" w:rsidRPr="0033433B" w:rsidRDefault="007B00CA" w:rsidP="006A2AFF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560000,00</w:t>
            </w:r>
          </w:p>
        </w:tc>
        <w:tc>
          <w:tcPr>
            <w:tcW w:w="1415" w:type="dxa"/>
            <w:vAlign w:val="center"/>
          </w:tcPr>
          <w:p w14:paraId="4A281D3A" w14:textId="2AD1EED2" w:rsidR="00022FA3" w:rsidRPr="0033433B" w:rsidRDefault="00C11D69" w:rsidP="007E0A2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700000,00</w:t>
            </w:r>
          </w:p>
        </w:tc>
      </w:tr>
      <w:tr w:rsidR="0035215E" w14:paraId="4A9B13EC" w14:textId="77777777" w:rsidTr="0035215E">
        <w:tc>
          <w:tcPr>
            <w:tcW w:w="3358" w:type="dxa"/>
            <w:vAlign w:val="center"/>
          </w:tcPr>
          <w:p w14:paraId="20608C8F" w14:textId="77777777" w:rsidR="0035215E" w:rsidRPr="009F4884" w:rsidRDefault="0035215E" w:rsidP="007E0A25">
            <w:pPr>
              <w:rPr>
                <w:rFonts w:ascii="Calibri" w:hAnsi="Calibri" w:cs="Arial"/>
                <w:szCs w:val="22"/>
              </w:rPr>
            </w:pPr>
            <w:r w:rsidRPr="009F4884">
              <w:rPr>
                <w:rFonts w:ascii="Calibri" w:hAnsi="Calibri" w:cs="Arial"/>
                <w:sz w:val="22"/>
                <w:szCs w:val="22"/>
              </w:rPr>
              <w:t xml:space="preserve">Zobowiązania krótkoterminowe </w:t>
            </w:r>
          </w:p>
        </w:tc>
        <w:tc>
          <w:tcPr>
            <w:tcW w:w="1512" w:type="dxa"/>
            <w:vAlign w:val="center"/>
          </w:tcPr>
          <w:p w14:paraId="32FD00B9" w14:textId="36EBFFC2" w:rsidR="0035215E" w:rsidRPr="00031A0E" w:rsidRDefault="00D109CB" w:rsidP="007E0A25">
            <w:pPr>
              <w:jc w:val="righ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1539827,69</w:t>
            </w:r>
          </w:p>
        </w:tc>
        <w:tc>
          <w:tcPr>
            <w:tcW w:w="1512" w:type="dxa"/>
            <w:vAlign w:val="center"/>
          </w:tcPr>
          <w:p w14:paraId="2F118A95" w14:textId="0CEB633A" w:rsidR="0035215E" w:rsidRPr="0033433B" w:rsidRDefault="00033B9F" w:rsidP="007E0A2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1510000,00</w:t>
            </w:r>
          </w:p>
        </w:tc>
        <w:tc>
          <w:tcPr>
            <w:tcW w:w="1415" w:type="dxa"/>
            <w:vAlign w:val="center"/>
          </w:tcPr>
          <w:p w14:paraId="4EFE33A5" w14:textId="53EC75EF" w:rsidR="0035215E" w:rsidRPr="0033433B" w:rsidRDefault="007B00CA" w:rsidP="007E0A2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1692000,00</w:t>
            </w:r>
          </w:p>
        </w:tc>
        <w:tc>
          <w:tcPr>
            <w:tcW w:w="1415" w:type="dxa"/>
            <w:vAlign w:val="center"/>
          </w:tcPr>
          <w:p w14:paraId="09101FA8" w14:textId="0F8C429D" w:rsidR="0035215E" w:rsidRPr="0033433B" w:rsidRDefault="00C11D69" w:rsidP="007E0A2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1695000,00</w:t>
            </w:r>
          </w:p>
        </w:tc>
      </w:tr>
      <w:tr w:rsidR="0035215E" w14:paraId="0B80FFF8" w14:textId="77777777" w:rsidTr="0035215E">
        <w:tc>
          <w:tcPr>
            <w:tcW w:w="3358" w:type="dxa"/>
            <w:vAlign w:val="center"/>
          </w:tcPr>
          <w:p w14:paraId="3A581ECD" w14:textId="77777777" w:rsidR="0035215E" w:rsidRPr="009F4884" w:rsidRDefault="0035215E" w:rsidP="007E0A25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-</w:t>
            </w:r>
            <w:r w:rsidRPr="009F4884">
              <w:rPr>
                <w:rFonts w:ascii="Calibri" w:hAnsi="Calibri" w:cs="Arial"/>
                <w:sz w:val="22"/>
                <w:szCs w:val="22"/>
              </w:rPr>
              <w:t>Pożyczki i kredyty</w:t>
            </w:r>
          </w:p>
        </w:tc>
        <w:tc>
          <w:tcPr>
            <w:tcW w:w="1512" w:type="dxa"/>
            <w:vAlign w:val="center"/>
          </w:tcPr>
          <w:p w14:paraId="61A25EAF" w14:textId="7B392186" w:rsidR="0035215E" w:rsidRPr="00031A0E" w:rsidRDefault="0035215E" w:rsidP="007E0A25">
            <w:pPr>
              <w:jc w:val="right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512" w:type="dxa"/>
            <w:vAlign w:val="center"/>
          </w:tcPr>
          <w:p w14:paraId="2D1752F7" w14:textId="3491ADF9" w:rsidR="0035215E" w:rsidRPr="0033433B" w:rsidRDefault="0035215E" w:rsidP="007E0A25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15" w:type="dxa"/>
            <w:vAlign w:val="center"/>
          </w:tcPr>
          <w:p w14:paraId="72D69D14" w14:textId="7B9C41B5" w:rsidR="0035215E" w:rsidRPr="0033433B" w:rsidRDefault="0035215E" w:rsidP="007E0A25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15" w:type="dxa"/>
            <w:vAlign w:val="center"/>
          </w:tcPr>
          <w:p w14:paraId="2E54EFD1" w14:textId="4E004678" w:rsidR="0035215E" w:rsidRPr="0033433B" w:rsidRDefault="0035215E" w:rsidP="007E0A25">
            <w:pPr>
              <w:jc w:val="right"/>
              <w:rPr>
                <w:rFonts w:ascii="Calibri" w:hAnsi="Calibri"/>
              </w:rPr>
            </w:pPr>
          </w:p>
        </w:tc>
      </w:tr>
      <w:tr w:rsidR="0035215E" w14:paraId="5AD77C22" w14:textId="77777777" w:rsidTr="0035215E">
        <w:tc>
          <w:tcPr>
            <w:tcW w:w="3358" w:type="dxa"/>
            <w:vAlign w:val="center"/>
          </w:tcPr>
          <w:p w14:paraId="6EE874CE" w14:textId="77777777" w:rsidR="0035215E" w:rsidRPr="009F4884" w:rsidRDefault="0035215E" w:rsidP="007E0A25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-</w:t>
            </w:r>
            <w:r w:rsidRPr="009F4884">
              <w:rPr>
                <w:rFonts w:ascii="Calibri" w:hAnsi="Calibri" w:cs="Arial"/>
                <w:sz w:val="22"/>
                <w:szCs w:val="22"/>
              </w:rPr>
              <w:t>Zobowiązania z tytułu dostaw i usług</w:t>
            </w:r>
          </w:p>
        </w:tc>
        <w:tc>
          <w:tcPr>
            <w:tcW w:w="1512" w:type="dxa"/>
            <w:vAlign w:val="center"/>
          </w:tcPr>
          <w:p w14:paraId="66D5E703" w14:textId="78292989" w:rsidR="0035215E" w:rsidRPr="00031A0E" w:rsidRDefault="00D109CB" w:rsidP="007E0A25">
            <w:pPr>
              <w:jc w:val="righ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550401,38</w:t>
            </w:r>
          </w:p>
        </w:tc>
        <w:tc>
          <w:tcPr>
            <w:tcW w:w="1512" w:type="dxa"/>
            <w:vAlign w:val="center"/>
          </w:tcPr>
          <w:p w14:paraId="370C58C0" w14:textId="7B741E6A" w:rsidR="0035215E" w:rsidRPr="0033433B" w:rsidRDefault="00033B9F" w:rsidP="007E0A2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495000,00</w:t>
            </w:r>
          </w:p>
        </w:tc>
        <w:tc>
          <w:tcPr>
            <w:tcW w:w="1415" w:type="dxa"/>
            <w:vAlign w:val="center"/>
          </w:tcPr>
          <w:p w14:paraId="6FB57E7C" w14:textId="651D6D83" w:rsidR="001B32D2" w:rsidRPr="0033433B" w:rsidRDefault="007B00CA" w:rsidP="007E0A2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600000,00</w:t>
            </w:r>
          </w:p>
        </w:tc>
        <w:tc>
          <w:tcPr>
            <w:tcW w:w="1415" w:type="dxa"/>
            <w:vAlign w:val="center"/>
          </w:tcPr>
          <w:p w14:paraId="20C258DB" w14:textId="181730FD" w:rsidR="0035215E" w:rsidRPr="0033433B" w:rsidRDefault="00C11D69" w:rsidP="007E0A2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509000,00</w:t>
            </w:r>
          </w:p>
        </w:tc>
      </w:tr>
      <w:tr w:rsidR="0035215E" w14:paraId="7D298C44" w14:textId="77777777" w:rsidTr="0035215E">
        <w:tc>
          <w:tcPr>
            <w:tcW w:w="3358" w:type="dxa"/>
            <w:vAlign w:val="center"/>
          </w:tcPr>
          <w:p w14:paraId="17C2157F" w14:textId="77777777" w:rsidR="0035215E" w:rsidRPr="009F4884" w:rsidRDefault="0035215E" w:rsidP="007E0A25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-</w:t>
            </w:r>
            <w:r w:rsidRPr="009F4884">
              <w:rPr>
                <w:rFonts w:ascii="Calibri" w:hAnsi="Calibri" w:cs="Arial"/>
                <w:sz w:val="22"/>
                <w:szCs w:val="22"/>
              </w:rPr>
              <w:t>Zobowiązania z tytułu podatków, ceł i ubezpieczeń społecznych</w:t>
            </w:r>
          </w:p>
        </w:tc>
        <w:tc>
          <w:tcPr>
            <w:tcW w:w="1512" w:type="dxa"/>
            <w:vAlign w:val="center"/>
          </w:tcPr>
          <w:p w14:paraId="0BBF6741" w14:textId="319C2F68" w:rsidR="0035215E" w:rsidRPr="00031A0E" w:rsidRDefault="00D109CB" w:rsidP="007E0A25">
            <w:pPr>
              <w:jc w:val="righ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518921,52</w:t>
            </w:r>
          </w:p>
        </w:tc>
        <w:tc>
          <w:tcPr>
            <w:tcW w:w="1512" w:type="dxa"/>
            <w:vAlign w:val="center"/>
          </w:tcPr>
          <w:p w14:paraId="48E8F258" w14:textId="3C63FD27" w:rsidR="0035215E" w:rsidRPr="0033433B" w:rsidRDefault="00033B9F" w:rsidP="007E0A2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550000,00</w:t>
            </w:r>
          </w:p>
        </w:tc>
        <w:tc>
          <w:tcPr>
            <w:tcW w:w="1415" w:type="dxa"/>
            <w:vAlign w:val="center"/>
          </w:tcPr>
          <w:p w14:paraId="2BA5E99E" w14:textId="48B55EE3" w:rsidR="0035215E" w:rsidRPr="0033433B" w:rsidRDefault="007B00CA" w:rsidP="007E0A2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570000,00</w:t>
            </w:r>
          </w:p>
        </w:tc>
        <w:tc>
          <w:tcPr>
            <w:tcW w:w="1415" w:type="dxa"/>
            <w:vAlign w:val="center"/>
          </w:tcPr>
          <w:p w14:paraId="17002F76" w14:textId="17F9C9BA" w:rsidR="0035215E" w:rsidRPr="0033433B" w:rsidRDefault="00C11D69" w:rsidP="007E0A2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600000,00</w:t>
            </w:r>
          </w:p>
        </w:tc>
      </w:tr>
      <w:tr w:rsidR="0035215E" w14:paraId="49BF8CFA" w14:textId="77777777" w:rsidTr="0035215E">
        <w:tc>
          <w:tcPr>
            <w:tcW w:w="3358" w:type="dxa"/>
            <w:vAlign w:val="center"/>
          </w:tcPr>
          <w:p w14:paraId="3DF71B11" w14:textId="77777777" w:rsidR="0035215E" w:rsidRPr="009F4884" w:rsidRDefault="0035215E" w:rsidP="007E0A25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-</w:t>
            </w:r>
            <w:r w:rsidRPr="009F4884">
              <w:rPr>
                <w:rFonts w:ascii="Calibri" w:hAnsi="Calibri" w:cs="Arial"/>
                <w:sz w:val="22"/>
                <w:szCs w:val="22"/>
              </w:rPr>
              <w:t>Zobowiązania z tytułu wynagrodzeń</w:t>
            </w:r>
          </w:p>
        </w:tc>
        <w:tc>
          <w:tcPr>
            <w:tcW w:w="1512" w:type="dxa"/>
            <w:vAlign w:val="center"/>
          </w:tcPr>
          <w:p w14:paraId="4BD63983" w14:textId="7BDF529D" w:rsidR="0035215E" w:rsidRPr="00031A0E" w:rsidRDefault="00D109CB" w:rsidP="007E0A25">
            <w:pPr>
              <w:jc w:val="righ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434793,31</w:t>
            </w:r>
          </w:p>
        </w:tc>
        <w:tc>
          <w:tcPr>
            <w:tcW w:w="1512" w:type="dxa"/>
            <w:vAlign w:val="center"/>
          </w:tcPr>
          <w:p w14:paraId="7469245D" w14:textId="639E8FAF" w:rsidR="0035215E" w:rsidRPr="0033433B" w:rsidRDefault="00033B9F" w:rsidP="007E0A2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425000,00</w:t>
            </w:r>
          </w:p>
        </w:tc>
        <w:tc>
          <w:tcPr>
            <w:tcW w:w="1415" w:type="dxa"/>
            <w:vAlign w:val="center"/>
          </w:tcPr>
          <w:p w14:paraId="00A4F275" w14:textId="4774F73E" w:rsidR="0035215E" w:rsidRPr="0033433B" w:rsidRDefault="007B00CA" w:rsidP="007E0A2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495000,00</w:t>
            </w:r>
          </w:p>
        </w:tc>
        <w:tc>
          <w:tcPr>
            <w:tcW w:w="1415" w:type="dxa"/>
            <w:vAlign w:val="center"/>
          </w:tcPr>
          <w:p w14:paraId="52F630EB" w14:textId="52B9FB96" w:rsidR="0035215E" w:rsidRPr="0033433B" w:rsidRDefault="00C11D69" w:rsidP="007E0A2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550000,00</w:t>
            </w:r>
          </w:p>
        </w:tc>
      </w:tr>
      <w:tr w:rsidR="0035215E" w14:paraId="62685B74" w14:textId="77777777" w:rsidTr="0035215E">
        <w:tc>
          <w:tcPr>
            <w:tcW w:w="3358" w:type="dxa"/>
            <w:vAlign w:val="center"/>
          </w:tcPr>
          <w:p w14:paraId="54901D73" w14:textId="77777777" w:rsidR="0035215E" w:rsidRPr="009F4884" w:rsidRDefault="0035215E" w:rsidP="007E0A25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- </w:t>
            </w:r>
            <w:r w:rsidRPr="009F4884">
              <w:rPr>
                <w:rFonts w:ascii="Calibri" w:hAnsi="Calibri" w:cs="Arial"/>
                <w:sz w:val="22"/>
                <w:szCs w:val="22"/>
              </w:rPr>
              <w:t>Fundusze specjalne</w:t>
            </w:r>
          </w:p>
        </w:tc>
        <w:tc>
          <w:tcPr>
            <w:tcW w:w="1512" w:type="dxa"/>
            <w:vAlign w:val="center"/>
          </w:tcPr>
          <w:p w14:paraId="37C69B52" w14:textId="49973105" w:rsidR="00D109CB" w:rsidRPr="00031A0E" w:rsidRDefault="00D109CB" w:rsidP="00D109CB">
            <w:pPr>
              <w:jc w:val="righ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22396,75</w:t>
            </w:r>
          </w:p>
        </w:tc>
        <w:tc>
          <w:tcPr>
            <w:tcW w:w="1512" w:type="dxa"/>
            <w:vAlign w:val="center"/>
          </w:tcPr>
          <w:p w14:paraId="59416AC2" w14:textId="7463C0E0" w:rsidR="0035215E" w:rsidRPr="0033433B" w:rsidRDefault="00033B9F" w:rsidP="007E0A2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20000,00</w:t>
            </w:r>
          </w:p>
        </w:tc>
        <w:tc>
          <w:tcPr>
            <w:tcW w:w="1415" w:type="dxa"/>
            <w:vAlign w:val="center"/>
          </w:tcPr>
          <w:p w14:paraId="3DA989BD" w14:textId="1DCF6175" w:rsidR="0035215E" w:rsidRPr="0033433B" w:rsidRDefault="007B00CA" w:rsidP="007F1DC3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15000,00</w:t>
            </w:r>
          </w:p>
        </w:tc>
        <w:tc>
          <w:tcPr>
            <w:tcW w:w="1415" w:type="dxa"/>
            <w:vAlign w:val="center"/>
          </w:tcPr>
          <w:p w14:paraId="2C15FBC4" w14:textId="5D2B26FF" w:rsidR="0035215E" w:rsidRPr="0033433B" w:rsidRDefault="00C11D69" w:rsidP="0038206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16000,00</w:t>
            </w:r>
          </w:p>
        </w:tc>
      </w:tr>
      <w:tr w:rsidR="0035215E" w14:paraId="28A9E73E" w14:textId="77777777" w:rsidTr="0035215E">
        <w:trPr>
          <w:trHeight w:val="408"/>
        </w:trPr>
        <w:tc>
          <w:tcPr>
            <w:tcW w:w="3358" w:type="dxa"/>
            <w:vAlign w:val="center"/>
          </w:tcPr>
          <w:p w14:paraId="58895565" w14:textId="77777777" w:rsidR="0035215E" w:rsidRPr="009F4884" w:rsidRDefault="0035215E" w:rsidP="007E0A25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-</w:t>
            </w:r>
            <w:r w:rsidRPr="009F4884">
              <w:rPr>
                <w:rFonts w:ascii="Calibri" w:hAnsi="Calibri" w:cs="Arial"/>
                <w:sz w:val="22"/>
                <w:szCs w:val="22"/>
              </w:rPr>
              <w:t>Pozostałe zobowiązania</w:t>
            </w:r>
          </w:p>
        </w:tc>
        <w:tc>
          <w:tcPr>
            <w:tcW w:w="1512" w:type="dxa"/>
            <w:vAlign w:val="center"/>
          </w:tcPr>
          <w:p w14:paraId="279DDEE2" w14:textId="71A66726" w:rsidR="0035215E" w:rsidRPr="00031A0E" w:rsidRDefault="00D109CB" w:rsidP="007C05B0">
            <w:pPr>
              <w:jc w:val="righ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13314,73</w:t>
            </w:r>
          </w:p>
        </w:tc>
        <w:tc>
          <w:tcPr>
            <w:tcW w:w="1512" w:type="dxa"/>
            <w:vAlign w:val="center"/>
          </w:tcPr>
          <w:p w14:paraId="6E7C39BF" w14:textId="7126CC7D" w:rsidR="0035215E" w:rsidRPr="0033433B" w:rsidRDefault="00033B9F" w:rsidP="007E0A2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20000,00</w:t>
            </w:r>
          </w:p>
        </w:tc>
        <w:tc>
          <w:tcPr>
            <w:tcW w:w="1415" w:type="dxa"/>
            <w:vAlign w:val="center"/>
          </w:tcPr>
          <w:p w14:paraId="2EC056B0" w14:textId="39440700" w:rsidR="0035215E" w:rsidRPr="0033433B" w:rsidRDefault="007B00CA" w:rsidP="007E0A2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12000,00</w:t>
            </w:r>
          </w:p>
        </w:tc>
        <w:tc>
          <w:tcPr>
            <w:tcW w:w="1415" w:type="dxa"/>
            <w:vAlign w:val="center"/>
          </w:tcPr>
          <w:p w14:paraId="23CA72FC" w14:textId="5C8285DD" w:rsidR="0035215E" w:rsidRPr="0033433B" w:rsidRDefault="00C11D69" w:rsidP="007E0A2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20000,00</w:t>
            </w:r>
          </w:p>
        </w:tc>
      </w:tr>
      <w:tr w:rsidR="0035215E" w14:paraId="315D988B" w14:textId="77777777" w:rsidTr="0035215E">
        <w:trPr>
          <w:trHeight w:val="408"/>
        </w:trPr>
        <w:tc>
          <w:tcPr>
            <w:tcW w:w="3358" w:type="dxa"/>
            <w:vAlign w:val="center"/>
          </w:tcPr>
          <w:p w14:paraId="19190A1F" w14:textId="77777777" w:rsidR="0035215E" w:rsidRPr="009F4884" w:rsidRDefault="0035215E" w:rsidP="007E0A25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Rozliczenia międzyokresowe</w:t>
            </w:r>
          </w:p>
        </w:tc>
        <w:tc>
          <w:tcPr>
            <w:tcW w:w="1512" w:type="dxa"/>
            <w:vAlign w:val="center"/>
          </w:tcPr>
          <w:p w14:paraId="70A5FD82" w14:textId="18B6F712" w:rsidR="0035215E" w:rsidRPr="00031A0E" w:rsidRDefault="00D109CB" w:rsidP="007E0A25">
            <w:pPr>
              <w:jc w:val="righ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1 529 637,04</w:t>
            </w:r>
          </w:p>
        </w:tc>
        <w:tc>
          <w:tcPr>
            <w:tcW w:w="1512" w:type="dxa"/>
            <w:vAlign w:val="center"/>
          </w:tcPr>
          <w:p w14:paraId="2AFB518C" w14:textId="22E55ACA" w:rsidR="0035215E" w:rsidRPr="0033433B" w:rsidRDefault="00033B9F" w:rsidP="005164F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1253900,24</w:t>
            </w:r>
          </w:p>
        </w:tc>
        <w:tc>
          <w:tcPr>
            <w:tcW w:w="1415" w:type="dxa"/>
            <w:vAlign w:val="center"/>
          </w:tcPr>
          <w:p w14:paraId="0674424D" w14:textId="026E94CD" w:rsidR="0035215E" w:rsidRPr="0033433B" w:rsidRDefault="007B00CA" w:rsidP="007E0A2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1264141,24</w:t>
            </w:r>
          </w:p>
        </w:tc>
        <w:tc>
          <w:tcPr>
            <w:tcW w:w="1415" w:type="dxa"/>
            <w:vAlign w:val="center"/>
          </w:tcPr>
          <w:p w14:paraId="352040AA" w14:textId="5D6E16A8" w:rsidR="00C11D69" w:rsidRPr="0033433B" w:rsidRDefault="00C11D69" w:rsidP="00C11D69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1120000,24</w:t>
            </w:r>
          </w:p>
        </w:tc>
      </w:tr>
    </w:tbl>
    <w:p w14:paraId="6EB1DDB7" w14:textId="77777777" w:rsidR="004C5F3F" w:rsidRDefault="004C5F3F">
      <w:pPr>
        <w:widowControl/>
        <w:suppressAutoHyphens w:val="0"/>
        <w:jc w:val="both"/>
        <w:rPr>
          <w:b/>
          <w:szCs w:val="24"/>
        </w:rPr>
      </w:pPr>
      <w:r>
        <w:rPr>
          <w:b/>
          <w:szCs w:val="24"/>
        </w:rPr>
        <w:br w:type="page"/>
      </w:r>
    </w:p>
    <w:p w14:paraId="3893B1CA" w14:textId="74E9414D" w:rsidR="00137AEB" w:rsidRDefault="00137AEB" w:rsidP="001A0FE4">
      <w:pPr>
        <w:pStyle w:val="Nagwek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A0FE4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 </w:t>
      </w:r>
      <w:bookmarkStart w:id="14" w:name="_Toc104448293"/>
      <w:r w:rsidR="009321F7" w:rsidRPr="001A0FE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2.2. </w:t>
      </w:r>
      <w:r w:rsidRPr="001A0FE4">
        <w:rPr>
          <w:rFonts w:ascii="Times New Roman" w:hAnsi="Times New Roman" w:cs="Times New Roman"/>
          <w:b w:val="0"/>
          <w:color w:val="auto"/>
          <w:sz w:val="24"/>
          <w:szCs w:val="24"/>
        </w:rPr>
        <w:t>Prognoza rach</w:t>
      </w:r>
      <w:r w:rsidR="005B548B">
        <w:rPr>
          <w:rFonts w:ascii="Times New Roman" w:hAnsi="Times New Roman" w:cs="Times New Roman"/>
          <w:b w:val="0"/>
          <w:color w:val="auto"/>
          <w:sz w:val="24"/>
          <w:szCs w:val="24"/>
        </w:rPr>
        <w:t>unku zysków i strat na lata 20</w:t>
      </w:r>
      <w:r w:rsidR="00022FA3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033B9F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="005B548B">
        <w:rPr>
          <w:rFonts w:ascii="Times New Roman" w:hAnsi="Times New Roman" w:cs="Times New Roman"/>
          <w:b w:val="0"/>
          <w:color w:val="auto"/>
          <w:sz w:val="24"/>
          <w:szCs w:val="24"/>
        </w:rPr>
        <w:t>, 202</w:t>
      </w:r>
      <w:r w:rsidR="00033B9F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="003B12D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1A0FE4">
        <w:rPr>
          <w:rFonts w:ascii="Times New Roman" w:hAnsi="Times New Roman" w:cs="Times New Roman"/>
          <w:b w:val="0"/>
          <w:color w:val="auto"/>
          <w:sz w:val="24"/>
          <w:szCs w:val="24"/>
        </w:rPr>
        <w:t>i 20</w:t>
      </w:r>
      <w:r w:rsidR="005B548B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bookmarkEnd w:id="14"/>
      <w:r w:rsidR="00033B9F"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</w:p>
    <w:tbl>
      <w:tblPr>
        <w:tblW w:w="716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8"/>
        <w:gridCol w:w="3458"/>
        <w:gridCol w:w="1420"/>
      </w:tblGrid>
      <w:tr w:rsidR="00601C9F" w:rsidRPr="00601C9F" w14:paraId="141A5B18" w14:textId="77777777" w:rsidTr="00601C9F">
        <w:trPr>
          <w:trHeight w:val="462"/>
        </w:trPr>
        <w:tc>
          <w:tcPr>
            <w:tcW w:w="2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3F3E7" w14:textId="5B96500D" w:rsidR="00601C9F" w:rsidRPr="00601C9F" w:rsidRDefault="00244E6E" w:rsidP="00601C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Wojewódzki Zakład Opieki Zdrowotnej nad Matką, Dzieckiem i Młodzieżą</w:t>
            </w:r>
          </w:p>
        </w:tc>
        <w:tc>
          <w:tcPr>
            <w:tcW w:w="487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B0B4F2" w14:textId="77777777" w:rsidR="00601C9F" w:rsidRPr="00601C9F" w:rsidRDefault="00601C9F" w:rsidP="00601C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01C9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>RACHUNEK ZYSKÓW I STRAT</w:t>
            </w:r>
          </w:p>
        </w:tc>
      </w:tr>
      <w:tr w:rsidR="00601C9F" w:rsidRPr="00601C9F" w14:paraId="4851E3BE" w14:textId="77777777" w:rsidTr="00601C9F">
        <w:trPr>
          <w:trHeight w:val="327"/>
        </w:trPr>
        <w:tc>
          <w:tcPr>
            <w:tcW w:w="22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55D84" w14:textId="77777777" w:rsidR="00601C9F" w:rsidRPr="00601C9F" w:rsidRDefault="00601C9F" w:rsidP="00601C9F">
            <w:pPr>
              <w:widowControl/>
              <w:suppressAutoHyphens w:val="0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7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817AD3" w14:textId="3AFFE80D" w:rsidR="00601C9F" w:rsidRPr="00601C9F" w:rsidRDefault="00601C9F" w:rsidP="00601C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  <w:r w:rsidRPr="00601C9F"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  <w:t>za  okres od  dnia  01.01.202</w:t>
            </w:r>
            <w:r w:rsidR="00244E6E"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  <w:t>4</w:t>
            </w:r>
            <w:r w:rsidRPr="00601C9F"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  <w:t xml:space="preserve"> r.</w:t>
            </w:r>
          </w:p>
        </w:tc>
      </w:tr>
      <w:tr w:rsidR="00601C9F" w:rsidRPr="00601C9F" w14:paraId="4B483465" w14:textId="77777777" w:rsidTr="00601C9F">
        <w:trPr>
          <w:trHeight w:val="330"/>
        </w:trPr>
        <w:tc>
          <w:tcPr>
            <w:tcW w:w="22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AC9DE" w14:textId="77777777" w:rsidR="00601C9F" w:rsidRPr="00601C9F" w:rsidRDefault="00601C9F" w:rsidP="00601C9F">
            <w:pPr>
              <w:widowControl/>
              <w:suppressAutoHyphens w:val="0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7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3EF4F5" w14:textId="7ABD8CF5" w:rsidR="00601C9F" w:rsidRPr="00601C9F" w:rsidRDefault="00601C9F" w:rsidP="00601C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  <w:r w:rsidRPr="00601C9F"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  <w:t xml:space="preserve">                 do  dnia  31.12.202</w:t>
            </w:r>
            <w:r w:rsidR="00244E6E"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  <w:t>4</w:t>
            </w:r>
            <w:r w:rsidRPr="00601C9F"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  <w:t>r.</w:t>
            </w:r>
          </w:p>
        </w:tc>
      </w:tr>
      <w:tr w:rsidR="00601C9F" w:rsidRPr="00601C9F" w14:paraId="521D229A" w14:textId="77777777" w:rsidTr="00601C9F">
        <w:trPr>
          <w:trHeight w:val="477"/>
        </w:trPr>
        <w:tc>
          <w:tcPr>
            <w:tcW w:w="22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ED4EB" w14:textId="77777777" w:rsidR="00601C9F" w:rsidRPr="00601C9F" w:rsidRDefault="00601C9F" w:rsidP="00601C9F">
            <w:pPr>
              <w:widowControl/>
              <w:suppressAutoHyphens w:val="0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7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0B071F" w14:textId="77777777" w:rsidR="00601C9F" w:rsidRPr="00601C9F" w:rsidRDefault="00601C9F" w:rsidP="00601C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Cs w:val="22"/>
                <w:lang w:eastAsia="pl-PL"/>
              </w:rPr>
            </w:pPr>
            <w:r w:rsidRPr="00601C9F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 xml:space="preserve">wariant porównawczy </w:t>
            </w:r>
          </w:p>
        </w:tc>
      </w:tr>
      <w:tr w:rsidR="00601C9F" w:rsidRPr="00601C9F" w14:paraId="628B3069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54ED4" w14:textId="77777777" w:rsidR="00601C9F" w:rsidRPr="00601C9F" w:rsidRDefault="00601C9F" w:rsidP="00601C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TREŚĆ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DEF89" w14:textId="1D60EDE7" w:rsidR="00601C9F" w:rsidRPr="00601C9F" w:rsidRDefault="00601C9F" w:rsidP="00601C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Za 202</w:t>
            </w:r>
            <w:r w:rsidR="00244E6E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4</w:t>
            </w:r>
            <w:r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(zł i gr)</w:t>
            </w:r>
          </w:p>
        </w:tc>
      </w:tr>
      <w:tr w:rsidR="00601C9F" w:rsidRPr="00601C9F" w14:paraId="77E1974A" w14:textId="77777777" w:rsidTr="00601C9F">
        <w:trPr>
          <w:trHeight w:val="270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D1D97" w14:textId="77777777" w:rsidR="00601C9F" w:rsidRPr="00601C9F" w:rsidRDefault="00601C9F" w:rsidP="00601C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F4DD7C" w14:textId="77777777" w:rsidR="00601C9F" w:rsidRPr="00601C9F" w:rsidRDefault="00601C9F" w:rsidP="00601C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1</w:t>
            </w:r>
          </w:p>
        </w:tc>
      </w:tr>
      <w:tr w:rsidR="00601C9F" w:rsidRPr="00601C9F" w14:paraId="1EAEC2B4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5E965" w14:textId="77777777" w:rsidR="00601C9F" w:rsidRPr="00601C9F" w:rsidRDefault="00601C9F" w:rsidP="00601C9F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 xml:space="preserve">A. Przychody netto ze sprzedaży i zrównane z nimi, w tym: 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796BD" w14:textId="71C9607A" w:rsidR="00601C9F" w:rsidRPr="00601C9F" w:rsidRDefault="00244E6E" w:rsidP="00601C9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14 873 370,00</w:t>
            </w:r>
          </w:p>
        </w:tc>
      </w:tr>
      <w:tr w:rsidR="00601C9F" w:rsidRPr="00601C9F" w14:paraId="1593C199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03867" w14:textId="77777777" w:rsidR="00601C9F" w:rsidRPr="00601C9F" w:rsidRDefault="00601C9F" w:rsidP="00601C9F">
            <w:pPr>
              <w:widowControl/>
              <w:suppressAutoHyphens w:val="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 xml:space="preserve">      - dla jednostek powiązanych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0860F" w14:textId="77777777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751820A2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6BD62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I.     Przychody netto ze sprzedaży produktów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C3849" w14:textId="5649D857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1</w:t>
            </w:r>
            <w:r w:rsidR="00244E6E">
              <w:rPr>
                <w:rFonts w:eastAsia="Times New Roman"/>
                <w:color w:val="000000"/>
                <w:sz w:val="20"/>
                <w:lang w:eastAsia="pl-PL"/>
              </w:rPr>
              <w:t>4 993 376,00</w:t>
            </w:r>
          </w:p>
        </w:tc>
      </w:tr>
      <w:tr w:rsidR="00601C9F" w:rsidRPr="00601C9F" w14:paraId="5079729A" w14:textId="77777777" w:rsidTr="00601C9F">
        <w:trPr>
          <w:trHeight w:val="522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8D812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II.    Zmiana stanu produktów (zwiększenie – wartość dodatnia,    zmniejszenie – wartość ujemna)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5EFB3" w14:textId="5C8868FC" w:rsidR="00601C9F" w:rsidRPr="00601C9F" w:rsidRDefault="00731AB1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lang w:eastAsia="pl-PL"/>
              </w:rPr>
              <w:t>-</w:t>
            </w:r>
            <w:r w:rsidR="00244E6E">
              <w:rPr>
                <w:rFonts w:eastAsia="Times New Roman"/>
                <w:color w:val="000000"/>
                <w:sz w:val="20"/>
                <w:lang w:eastAsia="pl-PL"/>
              </w:rPr>
              <w:t>120 006,00</w:t>
            </w:r>
            <w:r w:rsidR="00601C9F" w:rsidRPr="00601C9F">
              <w:rPr>
                <w:rFonts w:eastAsia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58A8B70C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E7036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III.   Koszt wytworzenia produktów na własne potrzeby jednostki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3A188" w14:textId="77777777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7C920995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31CA0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IV.   Przychody netto ze sprzedaży towarów i materiałów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E1B16" w14:textId="77777777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257213CD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69D3B" w14:textId="77777777" w:rsidR="00601C9F" w:rsidRPr="00601C9F" w:rsidRDefault="00601C9F" w:rsidP="00601C9F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B. Koszty działalności operacyjnej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A9CE7" w14:textId="6EF6E852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1</w:t>
            </w:r>
            <w:r w:rsidR="00244E6E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5 697 373</w:t>
            </w:r>
            <w:r w:rsidR="00731AB1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,</w:t>
            </w:r>
            <w:r w:rsidR="00244E6E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8</w:t>
            </w:r>
            <w:r w:rsidR="003C7D6C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0</w:t>
            </w:r>
          </w:p>
        </w:tc>
      </w:tr>
      <w:tr w:rsidR="00601C9F" w:rsidRPr="00601C9F" w14:paraId="0FBEC334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E56B2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I.     Amortyzacja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00BF7C" w14:textId="311B1FF6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5</w:t>
            </w:r>
            <w:r w:rsidR="00244E6E">
              <w:rPr>
                <w:rFonts w:eastAsia="Times New Roman"/>
                <w:color w:val="000000"/>
                <w:sz w:val="20"/>
                <w:lang w:eastAsia="pl-PL"/>
              </w:rPr>
              <w:t>5</w:t>
            </w:r>
            <w:r w:rsidR="00731AB1">
              <w:rPr>
                <w:rFonts w:eastAsia="Times New Roman"/>
                <w:color w:val="000000"/>
                <w:sz w:val="20"/>
                <w:lang w:eastAsia="pl-PL"/>
              </w:rPr>
              <w:t>5</w:t>
            </w: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 xml:space="preserve"> 000,00</w:t>
            </w:r>
          </w:p>
        </w:tc>
      </w:tr>
      <w:tr w:rsidR="00601C9F" w:rsidRPr="00601C9F" w14:paraId="548C454A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35C7D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II.    Zużycie materiałów i energii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FDC89" w14:textId="0A154C9B" w:rsidR="00601C9F" w:rsidRPr="00601C9F" w:rsidRDefault="00244E6E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lang w:eastAsia="pl-PL"/>
              </w:rPr>
              <w:t>882 953</w:t>
            </w:r>
            <w:r w:rsidR="00601C9F" w:rsidRPr="00601C9F">
              <w:rPr>
                <w:rFonts w:eastAsia="Times New Roman"/>
                <w:color w:val="000000"/>
                <w:sz w:val="20"/>
                <w:lang w:eastAsia="pl-PL"/>
              </w:rPr>
              <w:t>,00</w:t>
            </w:r>
          </w:p>
        </w:tc>
      </w:tr>
      <w:tr w:rsidR="00601C9F" w:rsidRPr="00601C9F" w14:paraId="7309D923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B19B3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III.   Usługi obce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5BE7E" w14:textId="4D9B0CCB" w:rsidR="00601C9F" w:rsidRPr="00601C9F" w:rsidRDefault="00731AB1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lang w:eastAsia="pl-PL"/>
              </w:rPr>
              <w:t>4</w:t>
            </w:r>
            <w:r w:rsidR="00244E6E">
              <w:rPr>
                <w:rFonts w:eastAsia="Times New Roman"/>
                <w:color w:val="000000"/>
                <w:sz w:val="20"/>
                <w:lang w:eastAsia="pl-PL"/>
              </w:rPr>
              <w:t> 766 439</w:t>
            </w:r>
            <w:r>
              <w:rPr>
                <w:rFonts w:eastAsia="Times New Roman"/>
                <w:color w:val="000000"/>
                <w:sz w:val="20"/>
                <w:lang w:eastAsia="pl-PL"/>
              </w:rPr>
              <w:t>,</w:t>
            </w:r>
            <w:r w:rsidR="00244E6E">
              <w:rPr>
                <w:rFonts w:eastAsia="Times New Roman"/>
                <w:color w:val="000000"/>
                <w:sz w:val="20"/>
                <w:lang w:eastAsia="pl-PL"/>
              </w:rPr>
              <w:t>8</w:t>
            </w:r>
            <w:r>
              <w:rPr>
                <w:rFonts w:eastAsia="Times New Roman"/>
                <w:color w:val="000000"/>
                <w:sz w:val="20"/>
                <w:lang w:eastAsia="pl-PL"/>
              </w:rPr>
              <w:t>0</w:t>
            </w:r>
          </w:p>
        </w:tc>
      </w:tr>
      <w:tr w:rsidR="00601C9F" w:rsidRPr="00601C9F" w14:paraId="1EEB5519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C0D2C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IV.   Podatki i opłaty, w tym: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F23BC2" w14:textId="2AD2F580" w:rsidR="00601C9F" w:rsidRPr="00601C9F" w:rsidRDefault="00244E6E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lang w:eastAsia="pl-PL"/>
              </w:rPr>
              <w:t>244 850</w:t>
            </w:r>
            <w:r w:rsidR="00601C9F" w:rsidRPr="00601C9F">
              <w:rPr>
                <w:rFonts w:eastAsia="Times New Roman"/>
                <w:color w:val="000000"/>
                <w:sz w:val="20"/>
                <w:lang w:eastAsia="pl-PL"/>
              </w:rPr>
              <w:t>,00</w:t>
            </w:r>
          </w:p>
        </w:tc>
      </w:tr>
      <w:tr w:rsidR="00601C9F" w:rsidRPr="00601C9F" w14:paraId="4E224B5A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C6ED5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 xml:space="preserve">       - podatek akcyzowy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4B78C" w14:textId="77777777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005B7657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19F34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V.    Wynagrodzenia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549C1" w14:textId="78BC806A" w:rsidR="00601C9F" w:rsidRPr="00601C9F" w:rsidRDefault="00244E6E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lang w:eastAsia="pl-PL"/>
              </w:rPr>
              <w:t>7 772 631</w:t>
            </w:r>
            <w:r w:rsidR="00731AB1">
              <w:rPr>
                <w:rFonts w:eastAsia="Times New Roman"/>
                <w:color w:val="000000"/>
                <w:sz w:val="20"/>
                <w:lang w:eastAsia="pl-PL"/>
              </w:rPr>
              <w:t>,00</w:t>
            </w:r>
          </w:p>
        </w:tc>
      </w:tr>
      <w:tr w:rsidR="00601C9F" w:rsidRPr="00601C9F" w14:paraId="33C699F0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79995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VI.   Ubezpieczenia społeczne i inne świadczenia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BC8E4" w14:textId="10628162" w:rsidR="00601C9F" w:rsidRPr="00601C9F" w:rsidRDefault="00CF723A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lang w:eastAsia="pl-PL"/>
              </w:rPr>
              <w:t>1</w:t>
            </w:r>
            <w:r w:rsidR="00244E6E">
              <w:rPr>
                <w:rFonts w:eastAsia="Times New Roman"/>
                <w:color w:val="000000"/>
                <w:sz w:val="20"/>
                <w:lang w:eastAsia="pl-PL"/>
              </w:rPr>
              <w:t> 439 000</w:t>
            </w:r>
            <w:r w:rsidR="00731AB1">
              <w:rPr>
                <w:rFonts w:eastAsia="Times New Roman"/>
                <w:color w:val="000000"/>
                <w:sz w:val="20"/>
                <w:lang w:eastAsia="pl-PL"/>
              </w:rPr>
              <w:t>,00</w:t>
            </w:r>
          </w:p>
        </w:tc>
      </w:tr>
      <w:tr w:rsidR="00601C9F" w:rsidRPr="00601C9F" w14:paraId="2C5EE040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C4E1F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VII.  Pozostałe koszty rodzajowe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DF579" w14:textId="5DBE691B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 xml:space="preserve">36 </w:t>
            </w:r>
            <w:r w:rsidR="00244E6E">
              <w:rPr>
                <w:rFonts w:eastAsia="Times New Roman"/>
                <w:color w:val="000000"/>
                <w:sz w:val="20"/>
                <w:lang w:eastAsia="pl-PL"/>
              </w:rPr>
              <w:t>5</w:t>
            </w: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00,00</w:t>
            </w:r>
          </w:p>
        </w:tc>
      </w:tr>
      <w:tr w:rsidR="00601C9F" w:rsidRPr="00601C9F" w14:paraId="6D182E54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DC10E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VIII. Wartość sprzedanych towarów i materiałów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40CB4" w14:textId="77777777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669F3D0F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63DA8" w14:textId="77777777" w:rsidR="00601C9F" w:rsidRPr="00601C9F" w:rsidRDefault="00601C9F" w:rsidP="00601C9F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 xml:space="preserve">C. Zysk (strata) ze sprzedaży (A – B)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83AAA" w14:textId="53D08B00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-</w:t>
            </w:r>
            <w:r w:rsidR="00244E6E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824 003,80</w:t>
            </w:r>
          </w:p>
        </w:tc>
      </w:tr>
      <w:tr w:rsidR="00601C9F" w:rsidRPr="00601C9F" w14:paraId="4F7F41E4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65639" w14:textId="77777777" w:rsidR="00601C9F" w:rsidRPr="00601C9F" w:rsidRDefault="00601C9F" w:rsidP="00601C9F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D. Pozostałe przychody operacyjne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68027" w14:textId="73F4BBE9" w:rsidR="00601C9F" w:rsidRPr="00601C9F" w:rsidRDefault="00244E6E" w:rsidP="00601C9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1 629 098,80</w:t>
            </w:r>
          </w:p>
        </w:tc>
      </w:tr>
      <w:tr w:rsidR="00601C9F" w:rsidRPr="00601C9F" w14:paraId="4D9330A0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FACFB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I.     Zysk ze zbycia niefinansowych aktywów trwałych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BFB44" w14:textId="77777777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4819AB30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D4A8F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II.    Dotacje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22105" w14:textId="2CC4DF2A" w:rsidR="00601C9F" w:rsidRPr="00601C9F" w:rsidRDefault="00244E6E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lang w:eastAsia="pl-PL"/>
              </w:rPr>
              <w:t>211 700</w:t>
            </w:r>
            <w:r w:rsidR="00731AB1">
              <w:rPr>
                <w:rFonts w:eastAsia="Times New Roman"/>
                <w:color w:val="000000"/>
                <w:sz w:val="20"/>
                <w:lang w:eastAsia="pl-PL"/>
              </w:rPr>
              <w:t>,00</w:t>
            </w:r>
            <w:r w:rsidR="00601C9F" w:rsidRPr="00601C9F">
              <w:rPr>
                <w:rFonts w:eastAsia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50864470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91945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III.   Inne przychody operacyjne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B34D3" w14:textId="6E0113BF" w:rsidR="00601C9F" w:rsidRPr="00601C9F" w:rsidRDefault="00244E6E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lang w:eastAsia="pl-PL"/>
              </w:rPr>
              <w:t>1 417 398,8</w:t>
            </w:r>
            <w:r w:rsidR="00601C9F" w:rsidRPr="00601C9F">
              <w:rPr>
                <w:rFonts w:eastAsia="Times New Roman"/>
                <w:color w:val="000000"/>
                <w:sz w:val="20"/>
                <w:lang w:eastAsia="pl-PL"/>
              </w:rPr>
              <w:t>0</w:t>
            </w:r>
          </w:p>
        </w:tc>
      </w:tr>
      <w:tr w:rsidR="00601C9F" w:rsidRPr="00601C9F" w14:paraId="6238E8F9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C68F5" w14:textId="77777777" w:rsidR="00601C9F" w:rsidRPr="00601C9F" w:rsidRDefault="00601C9F" w:rsidP="00601C9F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E. Pozostałe koszty operacyjne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36AE6" w14:textId="6EF1F590" w:rsidR="00601C9F" w:rsidRPr="00601C9F" w:rsidRDefault="00244E6E" w:rsidP="00601C9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770</w:t>
            </w:r>
            <w:r w:rsidR="00601C9F"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 xml:space="preserve"> 000,00</w:t>
            </w:r>
          </w:p>
        </w:tc>
      </w:tr>
      <w:tr w:rsidR="00601C9F" w:rsidRPr="00601C9F" w14:paraId="42CFE8DC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E7631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 xml:space="preserve">I.     Strata ze zbycia niefinansowych aktywów trwałych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9188F" w14:textId="77777777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7E592C7F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521A1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II.    Aktualizacja wartości aktywów niefinansowych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7F1EE" w14:textId="77777777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6F1E5394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CF9B3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III.   Inne koszty operacyjne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421B8" w14:textId="61FCD6A9" w:rsidR="00601C9F" w:rsidRPr="00601C9F" w:rsidRDefault="00244E6E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lang w:eastAsia="pl-PL"/>
              </w:rPr>
              <w:t>770</w:t>
            </w:r>
            <w:r w:rsidR="00601C9F" w:rsidRPr="00601C9F">
              <w:rPr>
                <w:rFonts w:eastAsia="Times New Roman"/>
                <w:color w:val="000000"/>
                <w:sz w:val="20"/>
                <w:lang w:eastAsia="pl-PL"/>
              </w:rPr>
              <w:t xml:space="preserve"> 000,00</w:t>
            </w:r>
          </w:p>
        </w:tc>
      </w:tr>
      <w:tr w:rsidR="00601C9F" w:rsidRPr="00601C9F" w14:paraId="46A57826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93665" w14:textId="1E31BE44" w:rsidR="00601C9F" w:rsidRPr="00601C9F" w:rsidRDefault="00601C9F" w:rsidP="00601C9F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F. Zysk (strata) z działalności</w:t>
            </w:r>
            <w:r w:rsidR="00D92BA3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 xml:space="preserve"> operacyjnej</w:t>
            </w:r>
            <w:r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 xml:space="preserve"> ( C + D – E)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8B49B" w14:textId="1F835511" w:rsidR="00601C9F" w:rsidRPr="00601C9F" w:rsidRDefault="00244E6E" w:rsidP="00601C9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35 095</w:t>
            </w:r>
            <w:r w:rsidR="00731AB1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,00</w:t>
            </w:r>
          </w:p>
        </w:tc>
      </w:tr>
      <w:tr w:rsidR="00601C9F" w:rsidRPr="00601C9F" w14:paraId="4C984458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F1B7A" w14:textId="77777777" w:rsidR="00601C9F" w:rsidRPr="00601C9F" w:rsidRDefault="00601C9F" w:rsidP="00601C9F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G. Przychody finansowe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DF0B5" w14:textId="22B4E19F" w:rsidR="00601C9F" w:rsidRPr="00601C9F" w:rsidRDefault="00244E6E" w:rsidP="00601C9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2 1</w:t>
            </w:r>
            <w:r w:rsidR="00601C9F"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00,00</w:t>
            </w:r>
          </w:p>
        </w:tc>
      </w:tr>
      <w:tr w:rsidR="00601C9F" w:rsidRPr="00601C9F" w14:paraId="3758A3F5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2AFBA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I.     Dywidendy i udziały w zyskach, w tym: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C1830" w14:textId="77777777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28628F3B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6C285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 xml:space="preserve">       - od jednostek powiązanych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16452" w14:textId="77777777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4229099E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DA46C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II.    Odsetki, w tym: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9A2D8" w14:textId="1D66FECD" w:rsidR="00601C9F" w:rsidRPr="00601C9F" w:rsidRDefault="00244E6E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lang w:eastAsia="pl-PL"/>
              </w:rPr>
              <w:t>2 1</w:t>
            </w:r>
            <w:r w:rsidR="00601C9F" w:rsidRPr="00601C9F">
              <w:rPr>
                <w:rFonts w:eastAsia="Times New Roman"/>
                <w:color w:val="000000"/>
                <w:sz w:val="20"/>
                <w:lang w:eastAsia="pl-PL"/>
              </w:rPr>
              <w:t>00,00</w:t>
            </w:r>
          </w:p>
        </w:tc>
      </w:tr>
      <w:tr w:rsidR="00601C9F" w:rsidRPr="00601C9F" w14:paraId="03D0F7A0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2C160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- od jednostek powiązanych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14495" w14:textId="77777777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3259F00C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87365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III.   Zysk ze zbycia inwestycji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F9AFE" w14:textId="77777777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79888288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ACACF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IV.  Aktualizacja wartości inwestycji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347DC" w14:textId="77777777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46B3FC71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04A3C8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V.   Inne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BD340" w14:textId="77777777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1879113C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84BC1" w14:textId="77777777" w:rsidR="00601C9F" w:rsidRPr="00601C9F" w:rsidRDefault="00601C9F" w:rsidP="00601C9F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H. Koszty finansowe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ED047" w14:textId="4F04912A" w:rsidR="00601C9F" w:rsidRPr="00601C9F" w:rsidRDefault="00244E6E" w:rsidP="00601C9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15</w:t>
            </w:r>
            <w:r w:rsidR="00601C9F"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,00</w:t>
            </w:r>
          </w:p>
        </w:tc>
      </w:tr>
      <w:tr w:rsidR="00601C9F" w:rsidRPr="00601C9F" w14:paraId="147715EF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6E251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I.    Odsetki, w tym: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52E1D" w14:textId="4760C39C" w:rsidR="00601C9F" w:rsidRPr="00601C9F" w:rsidRDefault="00244E6E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lang w:eastAsia="pl-PL"/>
              </w:rPr>
              <w:t>15</w:t>
            </w:r>
            <w:r w:rsidR="00601C9F" w:rsidRPr="00601C9F">
              <w:rPr>
                <w:rFonts w:eastAsia="Times New Roman"/>
                <w:color w:val="000000"/>
                <w:sz w:val="20"/>
                <w:lang w:eastAsia="pl-PL"/>
              </w:rPr>
              <w:t>,00</w:t>
            </w:r>
          </w:p>
        </w:tc>
      </w:tr>
      <w:tr w:rsidR="00601C9F" w:rsidRPr="00601C9F" w14:paraId="6CAFAAA5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12DFE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 xml:space="preserve">      - dla jednostek powiązanych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E3DA4" w14:textId="77777777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1BCC5A71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275A0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II.   Strata ze zbycia inwestycji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7545D" w14:textId="77777777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0936262F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64ED6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III.  Aktualizacja wartości inwestycji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B1A8B" w14:textId="77777777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7DA17D2B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38AD3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IV.  Inne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1B1DE" w14:textId="77777777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52F836A8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BCDA3" w14:textId="6E2EF032" w:rsidR="00601C9F" w:rsidRPr="00601C9F" w:rsidRDefault="00601C9F" w:rsidP="00601C9F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 xml:space="preserve">I. Zysk (strata) </w:t>
            </w:r>
            <w:r w:rsidR="00D92BA3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 xml:space="preserve">brutto </w:t>
            </w:r>
            <w:r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 xml:space="preserve">( F + G – H)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CB928" w14:textId="536737C4" w:rsidR="00601C9F" w:rsidRPr="00601C9F" w:rsidRDefault="00731AB1" w:rsidP="00601C9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3</w:t>
            </w:r>
            <w:r w:rsidR="00244E6E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7 180</w:t>
            </w:r>
            <w:r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,00</w:t>
            </w:r>
          </w:p>
        </w:tc>
      </w:tr>
      <w:tr w:rsidR="00601C9F" w:rsidRPr="00601C9F" w14:paraId="709056A3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BCD41" w14:textId="34FACD1A" w:rsidR="00601C9F" w:rsidRPr="00601C9F" w:rsidRDefault="00D92BA3" w:rsidP="00601C9F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J</w:t>
            </w:r>
            <w:r w:rsidR="00601C9F"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. Podatek dochodowy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DF302" w14:textId="77777777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07E3C977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88CEB" w14:textId="21553F7F" w:rsidR="00601C9F" w:rsidRPr="00601C9F" w:rsidRDefault="00D92BA3" w:rsidP="00601C9F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K</w:t>
            </w:r>
            <w:r w:rsidR="00601C9F"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 xml:space="preserve">. </w:t>
            </w:r>
            <w:r w:rsidR="00601C9F" w:rsidRPr="00D92BA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Pozostałe obowiązkowe zmniejszenia zysku (zwiększenia</w:t>
            </w:r>
            <w:r w:rsidR="00601C9F"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 xml:space="preserve"> straty)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30E2E" w14:textId="77777777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5FC72C58" w14:textId="77777777" w:rsidTr="00601C9F">
        <w:trPr>
          <w:trHeight w:val="270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48A09" w14:textId="4AF407B6" w:rsidR="00601C9F" w:rsidRPr="00601C9F" w:rsidRDefault="00601C9F" w:rsidP="00601C9F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lastRenderedPageBreak/>
              <w:t xml:space="preserve">N. Zysk (strata) netto ( </w:t>
            </w:r>
            <w:r w:rsidR="00D92BA3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I</w:t>
            </w:r>
            <w:r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 xml:space="preserve"> – </w:t>
            </w:r>
            <w:r w:rsidR="00D92BA3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J</w:t>
            </w:r>
            <w:r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 xml:space="preserve">  – </w:t>
            </w:r>
            <w:r w:rsidR="00D92BA3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K</w:t>
            </w:r>
            <w:r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)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050C3" w14:textId="6C8246B3" w:rsidR="00601C9F" w:rsidRPr="00601C9F" w:rsidRDefault="00731AB1" w:rsidP="00601C9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3</w:t>
            </w:r>
            <w:r w:rsidR="00244E6E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7 180</w:t>
            </w:r>
            <w:r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,00</w:t>
            </w:r>
          </w:p>
        </w:tc>
      </w:tr>
    </w:tbl>
    <w:p w14:paraId="35E4A144" w14:textId="256469BC" w:rsidR="003B12DE" w:rsidRDefault="003B12DE">
      <w:pPr>
        <w:widowControl/>
        <w:suppressAutoHyphens w:val="0"/>
        <w:jc w:val="both"/>
      </w:pPr>
    </w:p>
    <w:tbl>
      <w:tblPr>
        <w:tblW w:w="716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8"/>
        <w:gridCol w:w="3458"/>
        <w:gridCol w:w="1420"/>
      </w:tblGrid>
      <w:tr w:rsidR="00601C9F" w:rsidRPr="00601C9F" w14:paraId="600BE974" w14:textId="77777777" w:rsidTr="00601C9F">
        <w:trPr>
          <w:trHeight w:val="462"/>
        </w:trPr>
        <w:tc>
          <w:tcPr>
            <w:tcW w:w="2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55367" w14:textId="4257960C" w:rsidR="00601C9F" w:rsidRPr="00601C9F" w:rsidRDefault="00244E6E" w:rsidP="00601C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Wojewódzki Zakład Opieki Zdrowotnej nad Matką, Dzieckiem i Młodzieżą</w:t>
            </w:r>
          </w:p>
        </w:tc>
        <w:tc>
          <w:tcPr>
            <w:tcW w:w="487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DD68D8" w14:textId="77777777" w:rsidR="00601C9F" w:rsidRPr="00601C9F" w:rsidRDefault="00601C9F" w:rsidP="00601C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01C9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>RACHUNEK ZYSKÓW I STRAT</w:t>
            </w:r>
          </w:p>
        </w:tc>
      </w:tr>
      <w:tr w:rsidR="00601C9F" w:rsidRPr="00601C9F" w14:paraId="1DD8674D" w14:textId="77777777" w:rsidTr="00601C9F">
        <w:trPr>
          <w:trHeight w:val="327"/>
        </w:trPr>
        <w:tc>
          <w:tcPr>
            <w:tcW w:w="22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7EFD1" w14:textId="77777777" w:rsidR="00601C9F" w:rsidRPr="00601C9F" w:rsidRDefault="00601C9F" w:rsidP="00601C9F">
            <w:pPr>
              <w:widowControl/>
              <w:suppressAutoHyphens w:val="0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7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87F53F" w14:textId="43F0035E" w:rsidR="00601C9F" w:rsidRPr="00601C9F" w:rsidRDefault="00601C9F" w:rsidP="00601C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  <w:r w:rsidRPr="00601C9F"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  <w:t>za  okres od  dnia  01.01.202</w:t>
            </w:r>
            <w:r w:rsidR="00FC05CD"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  <w:t>5</w:t>
            </w:r>
            <w:r w:rsidRPr="00601C9F"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  <w:t>r.</w:t>
            </w:r>
          </w:p>
        </w:tc>
      </w:tr>
      <w:tr w:rsidR="00601C9F" w:rsidRPr="00601C9F" w14:paraId="34D7BABE" w14:textId="77777777" w:rsidTr="00601C9F">
        <w:trPr>
          <w:trHeight w:val="330"/>
        </w:trPr>
        <w:tc>
          <w:tcPr>
            <w:tcW w:w="22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FC0BA" w14:textId="77777777" w:rsidR="00601C9F" w:rsidRPr="00601C9F" w:rsidRDefault="00601C9F" w:rsidP="00601C9F">
            <w:pPr>
              <w:widowControl/>
              <w:suppressAutoHyphens w:val="0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7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916B8D" w14:textId="3B8ED907" w:rsidR="00601C9F" w:rsidRPr="00601C9F" w:rsidRDefault="00601C9F" w:rsidP="00601C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  <w:r w:rsidRPr="00601C9F"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  <w:t xml:space="preserve">                 do  dnia  31.12.202</w:t>
            </w:r>
            <w:r w:rsidR="00FC05CD"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  <w:t>5</w:t>
            </w:r>
            <w:r w:rsidRPr="00601C9F"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  <w:t>r.</w:t>
            </w:r>
          </w:p>
        </w:tc>
      </w:tr>
      <w:tr w:rsidR="00601C9F" w:rsidRPr="00601C9F" w14:paraId="19560929" w14:textId="77777777" w:rsidTr="00601C9F">
        <w:trPr>
          <w:trHeight w:val="477"/>
        </w:trPr>
        <w:tc>
          <w:tcPr>
            <w:tcW w:w="22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3DF8B" w14:textId="77777777" w:rsidR="00601C9F" w:rsidRPr="00601C9F" w:rsidRDefault="00601C9F" w:rsidP="00601C9F">
            <w:pPr>
              <w:widowControl/>
              <w:suppressAutoHyphens w:val="0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7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43AD24" w14:textId="77777777" w:rsidR="00601C9F" w:rsidRPr="00601C9F" w:rsidRDefault="00601C9F" w:rsidP="00601C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Cs w:val="22"/>
                <w:lang w:eastAsia="pl-PL"/>
              </w:rPr>
            </w:pPr>
            <w:r w:rsidRPr="00601C9F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 xml:space="preserve">wariant porównawczy </w:t>
            </w:r>
          </w:p>
        </w:tc>
      </w:tr>
      <w:tr w:rsidR="00601C9F" w:rsidRPr="00601C9F" w14:paraId="4882933F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A1D86" w14:textId="77777777" w:rsidR="00601C9F" w:rsidRPr="00601C9F" w:rsidRDefault="00601C9F" w:rsidP="00601C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TREŚĆ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B56EC" w14:textId="2108207F" w:rsidR="00601C9F" w:rsidRPr="00601C9F" w:rsidRDefault="00601C9F" w:rsidP="00601C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Za 202</w:t>
            </w:r>
            <w:r w:rsidR="00FC05CD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5</w:t>
            </w:r>
            <w:r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(zł i gr)</w:t>
            </w:r>
          </w:p>
        </w:tc>
      </w:tr>
      <w:tr w:rsidR="00601C9F" w:rsidRPr="00601C9F" w14:paraId="12C96FC5" w14:textId="77777777" w:rsidTr="00601C9F">
        <w:trPr>
          <w:trHeight w:val="270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7A6DC" w14:textId="77777777" w:rsidR="00601C9F" w:rsidRPr="00601C9F" w:rsidRDefault="00601C9F" w:rsidP="00601C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A930FF" w14:textId="77777777" w:rsidR="00601C9F" w:rsidRPr="00601C9F" w:rsidRDefault="00601C9F" w:rsidP="00601C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1</w:t>
            </w:r>
          </w:p>
        </w:tc>
      </w:tr>
      <w:tr w:rsidR="00601C9F" w:rsidRPr="00601C9F" w14:paraId="5D9030C4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196D5" w14:textId="77777777" w:rsidR="00601C9F" w:rsidRPr="00601C9F" w:rsidRDefault="00601C9F" w:rsidP="00601C9F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 xml:space="preserve">A. Przychody netto ze sprzedaży i zrównane z nimi, w tym: 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4410C" w14:textId="6E0FB80D" w:rsidR="00601C9F" w:rsidRPr="00601C9F" w:rsidRDefault="00FC05CD" w:rsidP="00601C9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16 965 000</w:t>
            </w:r>
            <w:r w:rsidR="00731AB1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,00</w:t>
            </w:r>
          </w:p>
        </w:tc>
      </w:tr>
      <w:tr w:rsidR="00601C9F" w:rsidRPr="00601C9F" w14:paraId="7A3251CA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BAD03" w14:textId="77777777" w:rsidR="00601C9F" w:rsidRPr="00601C9F" w:rsidRDefault="00601C9F" w:rsidP="00601C9F">
            <w:pPr>
              <w:widowControl/>
              <w:suppressAutoHyphens w:val="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 xml:space="preserve">      - dla jednostek powiązanych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935D0" w14:textId="77777777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3EA6FC45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89B81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I.     Przychody netto ze sprzedaży produktów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29E12" w14:textId="2FD750AA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1</w:t>
            </w:r>
            <w:r w:rsidR="00FC05CD">
              <w:rPr>
                <w:rFonts w:eastAsia="Times New Roman"/>
                <w:color w:val="000000"/>
                <w:sz w:val="20"/>
                <w:lang w:eastAsia="pl-PL"/>
              </w:rPr>
              <w:t>6 965 000</w:t>
            </w:r>
            <w:r w:rsidR="00731AB1">
              <w:rPr>
                <w:rFonts w:eastAsia="Times New Roman"/>
                <w:color w:val="000000"/>
                <w:sz w:val="20"/>
                <w:lang w:eastAsia="pl-PL"/>
              </w:rPr>
              <w:t>,00</w:t>
            </w:r>
          </w:p>
        </w:tc>
      </w:tr>
      <w:tr w:rsidR="00601C9F" w:rsidRPr="00601C9F" w14:paraId="02181A44" w14:textId="77777777" w:rsidTr="00601C9F">
        <w:trPr>
          <w:trHeight w:val="522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8B3D7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II.    Zmiana stanu produktów (zwiększenie – wartość dodatnia,    zmniejszenie – wartość ujemna)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8119A" w14:textId="77777777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1E27AF30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44398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III.   Koszt wytworzenia produktów na własne potrzeby jednostki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21476" w14:textId="77777777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269D3352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88061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IV.   Przychody netto ze sprzedaży towarów i materiałów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1EF10" w14:textId="77777777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0DB51350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6AA07" w14:textId="77777777" w:rsidR="00601C9F" w:rsidRPr="00601C9F" w:rsidRDefault="00601C9F" w:rsidP="00601C9F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B. Koszty działalności operacyjnej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5B533" w14:textId="1DFACE51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1</w:t>
            </w:r>
            <w:r w:rsidR="00FC05CD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6 993 200</w:t>
            </w:r>
            <w:r w:rsidR="00731AB1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,00</w:t>
            </w:r>
          </w:p>
        </w:tc>
      </w:tr>
      <w:tr w:rsidR="00601C9F" w:rsidRPr="00601C9F" w14:paraId="436AB149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296DC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I.     Amortyzacja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527BF8" w14:textId="7C9EF560" w:rsidR="00601C9F" w:rsidRPr="00601C9F" w:rsidRDefault="00FC05CD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lang w:eastAsia="pl-PL"/>
              </w:rPr>
              <w:t>500</w:t>
            </w:r>
            <w:r w:rsidR="00601C9F" w:rsidRPr="00601C9F">
              <w:rPr>
                <w:rFonts w:eastAsia="Times New Roman"/>
                <w:color w:val="000000"/>
                <w:sz w:val="20"/>
                <w:lang w:eastAsia="pl-PL"/>
              </w:rPr>
              <w:t xml:space="preserve"> 000,00</w:t>
            </w:r>
          </w:p>
        </w:tc>
      </w:tr>
      <w:tr w:rsidR="00601C9F" w:rsidRPr="00601C9F" w14:paraId="697B8DE1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00F57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II.    Zużycie materiałów i energii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963EF" w14:textId="390A43DB" w:rsidR="00601C9F" w:rsidRPr="00601C9F" w:rsidRDefault="00FC05CD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lang w:eastAsia="pl-PL"/>
              </w:rPr>
              <w:t>90</w:t>
            </w:r>
            <w:r w:rsidR="00731AB1">
              <w:rPr>
                <w:rFonts w:eastAsia="Times New Roman"/>
                <w:color w:val="000000"/>
                <w:sz w:val="20"/>
                <w:lang w:eastAsia="pl-PL"/>
              </w:rPr>
              <w:t>0</w:t>
            </w:r>
            <w:r w:rsidR="00601C9F" w:rsidRPr="00601C9F">
              <w:rPr>
                <w:rFonts w:eastAsia="Times New Roman"/>
                <w:color w:val="000000"/>
                <w:sz w:val="20"/>
                <w:lang w:eastAsia="pl-PL"/>
              </w:rPr>
              <w:t xml:space="preserve"> 000,00</w:t>
            </w:r>
          </w:p>
        </w:tc>
      </w:tr>
      <w:tr w:rsidR="00601C9F" w:rsidRPr="00601C9F" w14:paraId="4C4F7E64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EEA92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III.   Usługi obce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9CA38" w14:textId="106693D2" w:rsidR="00601C9F" w:rsidRPr="00601C9F" w:rsidRDefault="00731AB1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lang w:eastAsia="pl-PL"/>
              </w:rPr>
              <w:t>5</w:t>
            </w:r>
            <w:r w:rsidR="00FC05CD">
              <w:rPr>
                <w:rFonts w:eastAsia="Times New Roman"/>
                <w:color w:val="000000"/>
                <w:sz w:val="20"/>
                <w:lang w:eastAsia="pl-PL"/>
              </w:rPr>
              <w:t> 200 000</w:t>
            </w:r>
            <w:r>
              <w:rPr>
                <w:rFonts w:eastAsia="Times New Roman"/>
                <w:color w:val="000000"/>
                <w:sz w:val="20"/>
                <w:lang w:eastAsia="pl-PL"/>
              </w:rPr>
              <w:t>,00</w:t>
            </w:r>
          </w:p>
        </w:tc>
      </w:tr>
      <w:tr w:rsidR="00601C9F" w:rsidRPr="00601C9F" w14:paraId="742BC911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09713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IV.   Podatki i opłaty, w tym: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A07817" w14:textId="59DD4A45" w:rsidR="00601C9F" w:rsidRPr="00601C9F" w:rsidRDefault="00FC05CD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lang w:eastAsia="pl-PL"/>
              </w:rPr>
              <w:t>300</w:t>
            </w:r>
            <w:r w:rsidR="00601C9F" w:rsidRPr="00601C9F">
              <w:rPr>
                <w:rFonts w:eastAsia="Times New Roman"/>
                <w:color w:val="000000"/>
                <w:sz w:val="20"/>
                <w:lang w:eastAsia="pl-PL"/>
              </w:rPr>
              <w:t xml:space="preserve"> 000,00</w:t>
            </w:r>
          </w:p>
        </w:tc>
      </w:tr>
      <w:tr w:rsidR="00601C9F" w:rsidRPr="00601C9F" w14:paraId="289C572D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D92A7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 xml:space="preserve">       - podatek akcyzowy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FE5B6" w14:textId="77777777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08273938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92DF2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V.    Wynagrodzenia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4532A" w14:textId="77846A86" w:rsidR="00601C9F" w:rsidRPr="00601C9F" w:rsidRDefault="00FC05CD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lang w:eastAsia="pl-PL"/>
              </w:rPr>
              <w:t>8 153 20</w:t>
            </w:r>
            <w:r w:rsidR="00731AB1">
              <w:rPr>
                <w:rFonts w:eastAsia="Times New Roman"/>
                <w:color w:val="000000"/>
                <w:sz w:val="20"/>
                <w:lang w:eastAsia="pl-PL"/>
              </w:rPr>
              <w:t>0,00</w:t>
            </w:r>
          </w:p>
        </w:tc>
      </w:tr>
      <w:tr w:rsidR="00601C9F" w:rsidRPr="00601C9F" w14:paraId="57E14CFD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ACD58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VI.   Ubezpieczenia społeczne i inne świadczenia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4850D" w14:textId="45F3D915" w:rsidR="00601C9F" w:rsidRPr="00601C9F" w:rsidRDefault="00D92279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lang w:eastAsia="pl-PL"/>
              </w:rPr>
              <w:t>1</w:t>
            </w:r>
            <w:r w:rsidR="00FC05CD">
              <w:rPr>
                <w:rFonts w:eastAsia="Times New Roman"/>
                <w:color w:val="000000"/>
                <w:sz w:val="20"/>
                <w:lang w:eastAsia="pl-PL"/>
              </w:rPr>
              <w:t> 890 000</w:t>
            </w:r>
            <w:r w:rsidR="00731AB1">
              <w:rPr>
                <w:rFonts w:eastAsia="Times New Roman"/>
                <w:color w:val="000000"/>
                <w:sz w:val="20"/>
                <w:lang w:eastAsia="pl-PL"/>
              </w:rPr>
              <w:t>,00</w:t>
            </w:r>
          </w:p>
        </w:tc>
      </w:tr>
      <w:tr w:rsidR="00601C9F" w:rsidRPr="00601C9F" w14:paraId="320D9FEA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37D1E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VII.  Pozostałe koszty rodzajowe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3E7BB" w14:textId="2C4A3C0F" w:rsidR="00601C9F" w:rsidRPr="00601C9F" w:rsidRDefault="00FC05CD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lang w:eastAsia="pl-PL"/>
              </w:rPr>
              <w:t>5</w:t>
            </w:r>
            <w:r w:rsidR="00601C9F" w:rsidRPr="00601C9F">
              <w:rPr>
                <w:rFonts w:eastAsia="Times New Roman"/>
                <w:color w:val="000000"/>
                <w:sz w:val="20"/>
                <w:lang w:eastAsia="pl-PL"/>
              </w:rPr>
              <w:t>0 000,00</w:t>
            </w:r>
          </w:p>
        </w:tc>
      </w:tr>
      <w:tr w:rsidR="00601C9F" w:rsidRPr="00601C9F" w14:paraId="218BAD7D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CA993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VIII. Wartość sprzedanych towarów i materiałów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256E1" w14:textId="77777777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626D5D3B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B4D49" w14:textId="77777777" w:rsidR="00601C9F" w:rsidRPr="00601C9F" w:rsidRDefault="00601C9F" w:rsidP="00601C9F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 xml:space="preserve">C. Zysk (strata) ze sprzedaży (A – B)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097D4" w14:textId="0421E700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-</w:t>
            </w:r>
            <w:r w:rsidR="00731AB1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2</w:t>
            </w:r>
            <w:r w:rsidR="00FC05CD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8 200</w:t>
            </w:r>
            <w:r w:rsidR="00731AB1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,00</w:t>
            </w:r>
          </w:p>
        </w:tc>
      </w:tr>
      <w:tr w:rsidR="00601C9F" w:rsidRPr="00601C9F" w14:paraId="1125076D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E89A3" w14:textId="77777777" w:rsidR="00601C9F" w:rsidRPr="00601C9F" w:rsidRDefault="00601C9F" w:rsidP="00601C9F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D. Pozostałe przychody operacyjne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2E698" w14:textId="2A425523" w:rsidR="00601C9F" w:rsidRPr="00601C9F" w:rsidRDefault="00FC05CD" w:rsidP="00601C9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1 000</w:t>
            </w:r>
            <w:r w:rsidR="00731AB1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 xml:space="preserve"> 000</w:t>
            </w:r>
            <w:r w:rsidR="00601C9F"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,00</w:t>
            </w:r>
          </w:p>
        </w:tc>
      </w:tr>
      <w:tr w:rsidR="00601C9F" w:rsidRPr="00601C9F" w14:paraId="655623A1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A8889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I.     Zysk ze zbycia niefinansowych aktywów trwałych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4C27E" w14:textId="77777777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1F9ABF01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1B8BF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II.    Dotacje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94863" w14:textId="129C789E" w:rsidR="00601C9F" w:rsidRPr="00601C9F" w:rsidRDefault="00FC05CD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lang w:eastAsia="pl-PL"/>
              </w:rPr>
              <w:t>5</w:t>
            </w:r>
            <w:r w:rsidR="00731AB1">
              <w:rPr>
                <w:rFonts w:eastAsia="Times New Roman"/>
                <w:color w:val="000000"/>
                <w:sz w:val="20"/>
                <w:lang w:eastAsia="pl-PL"/>
              </w:rPr>
              <w:t>0 000,00</w:t>
            </w:r>
            <w:r w:rsidR="00601C9F" w:rsidRPr="00601C9F">
              <w:rPr>
                <w:rFonts w:eastAsia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2FEAAF82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E5651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III.   Inne przychody operacyjne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229CE" w14:textId="4A18BFB3" w:rsidR="00601C9F" w:rsidRPr="00601C9F" w:rsidRDefault="00FC05CD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lang w:eastAsia="pl-PL"/>
              </w:rPr>
              <w:t>95</w:t>
            </w:r>
            <w:r w:rsidR="00731AB1">
              <w:rPr>
                <w:rFonts w:eastAsia="Times New Roman"/>
                <w:color w:val="000000"/>
                <w:sz w:val="20"/>
                <w:lang w:eastAsia="pl-PL"/>
              </w:rPr>
              <w:t>0 000</w:t>
            </w:r>
            <w:r w:rsidR="00601C9F" w:rsidRPr="00601C9F">
              <w:rPr>
                <w:rFonts w:eastAsia="Times New Roman"/>
                <w:color w:val="000000"/>
                <w:sz w:val="20"/>
                <w:lang w:eastAsia="pl-PL"/>
              </w:rPr>
              <w:t>,00</w:t>
            </w:r>
          </w:p>
        </w:tc>
      </w:tr>
      <w:tr w:rsidR="00601C9F" w:rsidRPr="00601C9F" w14:paraId="21C17221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BE8D0" w14:textId="77777777" w:rsidR="00601C9F" w:rsidRPr="00601C9F" w:rsidRDefault="00601C9F" w:rsidP="00601C9F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E. Pozostałe koszty operacyjne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F648E" w14:textId="3A3FD8BD" w:rsidR="00601C9F" w:rsidRPr="00601C9F" w:rsidRDefault="00900C00" w:rsidP="00601C9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930</w:t>
            </w:r>
            <w:r w:rsidR="00731AB1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 xml:space="preserve"> 000</w:t>
            </w:r>
            <w:r w:rsidR="00601C9F"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,00</w:t>
            </w:r>
          </w:p>
        </w:tc>
      </w:tr>
      <w:tr w:rsidR="00601C9F" w:rsidRPr="00601C9F" w14:paraId="766AE5CE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42DF6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 xml:space="preserve">I.     Strata ze zbycia niefinansowych aktywów trwałych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40544" w14:textId="77777777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5D32E90A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F0372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II.    Aktualizacja wartości aktywów niefinansowych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4371B" w14:textId="77777777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49E2658D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3037F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III.   Inne koszty operacyjne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9D0F7" w14:textId="4124341D" w:rsidR="00601C9F" w:rsidRPr="00601C9F" w:rsidRDefault="00900C00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lang w:eastAsia="pl-PL"/>
              </w:rPr>
              <w:t>930</w:t>
            </w:r>
            <w:r w:rsidR="00731AB1">
              <w:rPr>
                <w:rFonts w:eastAsia="Times New Roman"/>
                <w:color w:val="000000"/>
                <w:sz w:val="20"/>
                <w:lang w:eastAsia="pl-PL"/>
              </w:rPr>
              <w:t xml:space="preserve"> 000</w:t>
            </w:r>
            <w:r w:rsidR="00601C9F" w:rsidRPr="00601C9F">
              <w:rPr>
                <w:rFonts w:eastAsia="Times New Roman"/>
                <w:color w:val="000000"/>
                <w:sz w:val="20"/>
                <w:lang w:eastAsia="pl-PL"/>
              </w:rPr>
              <w:t>,00</w:t>
            </w:r>
          </w:p>
        </w:tc>
      </w:tr>
      <w:tr w:rsidR="00601C9F" w:rsidRPr="00601C9F" w14:paraId="73A3E9C1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EB98D" w14:textId="16C6D8A5" w:rsidR="00601C9F" w:rsidRPr="00601C9F" w:rsidRDefault="00601C9F" w:rsidP="00601C9F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F. Zysk (strata) z działalności</w:t>
            </w:r>
            <w:r w:rsidR="00900C00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 xml:space="preserve"> operacyjnej</w:t>
            </w:r>
            <w:r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 xml:space="preserve"> ( C + D – E)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11C36" w14:textId="4AADCE56" w:rsidR="00601C9F" w:rsidRPr="00601C9F" w:rsidRDefault="00900C00" w:rsidP="00601C9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41 80</w:t>
            </w:r>
            <w:r w:rsidR="00731AB1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0,00</w:t>
            </w:r>
          </w:p>
        </w:tc>
      </w:tr>
      <w:tr w:rsidR="00601C9F" w:rsidRPr="00601C9F" w14:paraId="2F240B0E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B7C68" w14:textId="77777777" w:rsidR="00601C9F" w:rsidRPr="00601C9F" w:rsidRDefault="00601C9F" w:rsidP="00601C9F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G. Przychody finansowe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0A62E" w14:textId="60EB5F3D" w:rsidR="00601C9F" w:rsidRPr="00601C9F" w:rsidRDefault="00900C00" w:rsidP="00601C9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2 5</w:t>
            </w:r>
            <w:r w:rsidR="00601C9F"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00,00</w:t>
            </w:r>
          </w:p>
        </w:tc>
      </w:tr>
      <w:tr w:rsidR="00601C9F" w:rsidRPr="00601C9F" w14:paraId="1DF05E4D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8D17C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I.     Dywidendy i udziały w zyskach, w tym: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93AC4" w14:textId="77777777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542CCEED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E756F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 xml:space="preserve">       - od jednostek powiązanych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BE56A" w14:textId="77777777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25CF3404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B3582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II.    Odsetki, w tym: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0AD26" w14:textId="21CEA9AD" w:rsidR="00601C9F" w:rsidRPr="00601C9F" w:rsidRDefault="00900C00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lang w:eastAsia="pl-PL"/>
              </w:rPr>
              <w:t>2 5</w:t>
            </w:r>
            <w:r w:rsidR="00601C9F" w:rsidRPr="00601C9F">
              <w:rPr>
                <w:rFonts w:eastAsia="Times New Roman"/>
                <w:color w:val="000000"/>
                <w:sz w:val="20"/>
                <w:lang w:eastAsia="pl-PL"/>
              </w:rPr>
              <w:t>00,00</w:t>
            </w:r>
          </w:p>
        </w:tc>
      </w:tr>
      <w:tr w:rsidR="00601C9F" w:rsidRPr="00601C9F" w14:paraId="6D62C73A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B538C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- od jednostek powiązanych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0F062" w14:textId="77777777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1CFD87DC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1DDEE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III.   Zysk ze zbycia inwestycji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BAFA0" w14:textId="77777777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4F5F729A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1D62B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IV.  Aktualizacja wartości inwestycji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201E4" w14:textId="77777777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42EDF3A8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C51A5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V.   Inne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4D64C" w14:textId="77777777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5E0D67C2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949E6" w14:textId="77777777" w:rsidR="00601C9F" w:rsidRPr="00601C9F" w:rsidRDefault="00601C9F" w:rsidP="00601C9F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H. Koszty finansowe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4DC8A" w14:textId="344F0EC2" w:rsidR="00601C9F" w:rsidRPr="00601C9F" w:rsidRDefault="00900C00" w:rsidP="00601C9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3</w:t>
            </w:r>
            <w:r w:rsidR="00601C9F"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0,00</w:t>
            </w:r>
          </w:p>
        </w:tc>
      </w:tr>
      <w:tr w:rsidR="00601C9F" w:rsidRPr="00601C9F" w14:paraId="57AEF669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25E36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I.    Odsetki, w tym: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50433" w14:textId="3987C9B9" w:rsidR="00601C9F" w:rsidRPr="00601C9F" w:rsidRDefault="00900C00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lang w:eastAsia="pl-PL"/>
              </w:rPr>
              <w:t>3</w:t>
            </w:r>
            <w:r w:rsidR="00601C9F" w:rsidRPr="00601C9F">
              <w:rPr>
                <w:rFonts w:eastAsia="Times New Roman"/>
                <w:color w:val="000000"/>
                <w:sz w:val="20"/>
                <w:lang w:eastAsia="pl-PL"/>
              </w:rPr>
              <w:t>0,00</w:t>
            </w:r>
          </w:p>
        </w:tc>
      </w:tr>
      <w:tr w:rsidR="00601C9F" w:rsidRPr="00601C9F" w14:paraId="17845277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00AD6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 xml:space="preserve">      - dla jednostek powiązanych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C94C6" w14:textId="77777777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2D57EBF8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C4D3C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II.   Strata ze zbycia inwestycji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BE4DE" w14:textId="77777777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086E5E68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46256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III.  Aktualizacja wartości inwestycji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D3D88" w14:textId="77777777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5152F904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860A6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IV.  Inne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081DE" w14:textId="77777777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78767659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7E059" w14:textId="3E7E40D7" w:rsidR="00601C9F" w:rsidRPr="00601C9F" w:rsidRDefault="00601C9F" w:rsidP="00601C9F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 xml:space="preserve">I. Zysk (strata) </w:t>
            </w:r>
            <w:r w:rsidR="00900C00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brutto</w:t>
            </w:r>
            <w:r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 xml:space="preserve"> ( F + G – H)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6A4A0" w14:textId="0C8A5120" w:rsidR="00601C9F" w:rsidRPr="00601C9F" w:rsidRDefault="00900C00" w:rsidP="00601C9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44 270</w:t>
            </w:r>
            <w:r w:rsidR="00731AB1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,00</w:t>
            </w:r>
          </w:p>
        </w:tc>
      </w:tr>
      <w:tr w:rsidR="00601C9F" w:rsidRPr="00601C9F" w14:paraId="68B2F696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4F31A" w14:textId="5E865F84" w:rsidR="00601C9F" w:rsidRPr="00601C9F" w:rsidRDefault="00900C00" w:rsidP="00601C9F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J</w:t>
            </w:r>
            <w:r w:rsidR="00601C9F"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. Podatek dochodowy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F27B4" w14:textId="77777777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36835612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ABC4C" w14:textId="1A8C718D" w:rsidR="00601C9F" w:rsidRPr="00601C9F" w:rsidRDefault="00900C00" w:rsidP="00601C9F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lastRenderedPageBreak/>
              <w:t>K</w:t>
            </w:r>
            <w:r w:rsidR="00601C9F"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. Pozostałe obowiązkowe zmniejszenia zysku (zwiększenia straty)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6875A" w14:textId="77777777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62403C40" w14:textId="77777777" w:rsidTr="00601C9F">
        <w:trPr>
          <w:trHeight w:val="270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89CA3A" w14:textId="61850752" w:rsidR="00601C9F" w:rsidRPr="00601C9F" w:rsidRDefault="00900C00" w:rsidP="00601C9F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L</w:t>
            </w:r>
            <w:r w:rsidR="00601C9F"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 xml:space="preserve">. Zysk (strata) netto ( </w:t>
            </w:r>
            <w:r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I</w:t>
            </w:r>
            <w:r w:rsidR="00601C9F"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 xml:space="preserve"> – </w:t>
            </w:r>
            <w:r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J</w:t>
            </w:r>
            <w:r w:rsidR="00601C9F"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 xml:space="preserve">  – </w:t>
            </w:r>
            <w:r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K</w:t>
            </w:r>
            <w:r w:rsidR="00601C9F"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)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FFD2C" w14:textId="12721012" w:rsidR="00601C9F" w:rsidRPr="00601C9F" w:rsidRDefault="00900C00" w:rsidP="00601C9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44 270</w:t>
            </w:r>
            <w:r w:rsidR="00E367BD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,00</w:t>
            </w:r>
          </w:p>
        </w:tc>
      </w:tr>
    </w:tbl>
    <w:p w14:paraId="1839114A" w14:textId="0A4D50AC" w:rsidR="00601C9F" w:rsidRDefault="00601C9F">
      <w:pPr>
        <w:widowControl/>
        <w:suppressAutoHyphens w:val="0"/>
        <w:jc w:val="both"/>
      </w:pPr>
    </w:p>
    <w:tbl>
      <w:tblPr>
        <w:tblW w:w="716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8"/>
        <w:gridCol w:w="3458"/>
        <w:gridCol w:w="1420"/>
      </w:tblGrid>
      <w:tr w:rsidR="00601C9F" w:rsidRPr="00601C9F" w14:paraId="4A51B135" w14:textId="77777777" w:rsidTr="00601C9F">
        <w:trPr>
          <w:trHeight w:val="462"/>
        </w:trPr>
        <w:tc>
          <w:tcPr>
            <w:tcW w:w="2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1AB65" w14:textId="48FA6E44" w:rsidR="00601C9F" w:rsidRPr="00601C9F" w:rsidRDefault="00244E6E" w:rsidP="00601C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Wojewódzki Zakład Opieki Zdrowotnej nad Matką, Dzieckiem i Młodzieżą</w:t>
            </w:r>
          </w:p>
        </w:tc>
        <w:tc>
          <w:tcPr>
            <w:tcW w:w="487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F912C4" w14:textId="77777777" w:rsidR="00601C9F" w:rsidRPr="00601C9F" w:rsidRDefault="00601C9F" w:rsidP="00601C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01C9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>RACHUNEK ZYSKÓW I STRAT</w:t>
            </w:r>
          </w:p>
        </w:tc>
      </w:tr>
      <w:tr w:rsidR="00601C9F" w:rsidRPr="00601C9F" w14:paraId="5F45128E" w14:textId="77777777" w:rsidTr="00601C9F">
        <w:trPr>
          <w:trHeight w:val="327"/>
        </w:trPr>
        <w:tc>
          <w:tcPr>
            <w:tcW w:w="22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82D73" w14:textId="77777777" w:rsidR="00601C9F" w:rsidRPr="00601C9F" w:rsidRDefault="00601C9F" w:rsidP="00601C9F">
            <w:pPr>
              <w:widowControl/>
              <w:suppressAutoHyphens w:val="0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7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C45D88" w14:textId="24108F85" w:rsidR="00601C9F" w:rsidRPr="00601C9F" w:rsidRDefault="00601C9F" w:rsidP="00601C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  <w:r w:rsidRPr="00601C9F"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  <w:t>za  okres od  dnia  01.01.202</w:t>
            </w:r>
            <w:r w:rsidR="0007433D"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  <w:t>6</w:t>
            </w:r>
            <w:r w:rsidRPr="00601C9F"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  <w:t xml:space="preserve"> r.</w:t>
            </w:r>
          </w:p>
        </w:tc>
      </w:tr>
      <w:tr w:rsidR="00601C9F" w:rsidRPr="00601C9F" w14:paraId="07B45F90" w14:textId="77777777" w:rsidTr="00601C9F">
        <w:trPr>
          <w:trHeight w:val="330"/>
        </w:trPr>
        <w:tc>
          <w:tcPr>
            <w:tcW w:w="22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5BDDB" w14:textId="77777777" w:rsidR="00601C9F" w:rsidRPr="00601C9F" w:rsidRDefault="00601C9F" w:rsidP="00601C9F">
            <w:pPr>
              <w:widowControl/>
              <w:suppressAutoHyphens w:val="0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7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B16675" w14:textId="0CFCF933" w:rsidR="00601C9F" w:rsidRPr="00601C9F" w:rsidRDefault="00601C9F" w:rsidP="00601C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  <w:r w:rsidRPr="00601C9F"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  <w:t xml:space="preserve">                 do  dnia  31.12.202</w:t>
            </w:r>
            <w:r w:rsidR="0007433D"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  <w:t>6</w:t>
            </w:r>
            <w:r w:rsidRPr="00601C9F"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  <w:t>r.</w:t>
            </w:r>
          </w:p>
        </w:tc>
      </w:tr>
      <w:tr w:rsidR="00601C9F" w:rsidRPr="00601C9F" w14:paraId="4A39FFE6" w14:textId="77777777" w:rsidTr="00601C9F">
        <w:trPr>
          <w:trHeight w:val="477"/>
        </w:trPr>
        <w:tc>
          <w:tcPr>
            <w:tcW w:w="22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2CE9C" w14:textId="77777777" w:rsidR="00601C9F" w:rsidRPr="00601C9F" w:rsidRDefault="00601C9F" w:rsidP="00601C9F">
            <w:pPr>
              <w:widowControl/>
              <w:suppressAutoHyphens w:val="0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7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7D1276" w14:textId="77777777" w:rsidR="00601C9F" w:rsidRPr="00601C9F" w:rsidRDefault="00601C9F" w:rsidP="00601C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Cs w:val="22"/>
                <w:lang w:eastAsia="pl-PL"/>
              </w:rPr>
            </w:pPr>
            <w:r w:rsidRPr="00601C9F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 xml:space="preserve">wariant porównawczy </w:t>
            </w:r>
          </w:p>
        </w:tc>
      </w:tr>
      <w:tr w:rsidR="00601C9F" w:rsidRPr="00601C9F" w14:paraId="53495E3D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AFBE3" w14:textId="77777777" w:rsidR="00601C9F" w:rsidRPr="00601C9F" w:rsidRDefault="00601C9F" w:rsidP="00601C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TREŚĆ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E0B6E" w14:textId="57BF64D5" w:rsidR="00601C9F" w:rsidRPr="00601C9F" w:rsidRDefault="00601C9F" w:rsidP="00601C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Za 202</w:t>
            </w:r>
            <w:r w:rsidR="00E367BD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5</w:t>
            </w:r>
            <w:r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(zł i gr)</w:t>
            </w:r>
          </w:p>
        </w:tc>
      </w:tr>
      <w:tr w:rsidR="00601C9F" w:rsidRPr="00601C9F" w14:paraId="61628527" w14:textId="77777777" w:rsidTr="00601C9F">
        <w:trPr>
          <w:trHeight w:val="270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13DDA" w14:textId="77777777" w:rsidR="00601C9F" w:rsidRPr="00601C9F" w:rsidRDefault="00601C9F" w:rsidP="00601C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9E990D" w14:textId="77777777" w:rsidR="00601C9F" w:rsidRPr="00601C9F" w:rsidRDefault="00601C9F" w:rsidP="00601C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1</w:t>
            </w:r>
          </w:p>
        </w:tc>
      </w:tr>
      <w:tr w:rsidR="00601C9F" w:rsidRPr="00601C9F" w14:paraId="619A73BA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B058F" w14:textId="77777777" w:rsidR="00601C9F" w:rsidRPr="00601C9F" w:rsidRDefault="00601C9F" w:rsidP="00601C9F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 xml:space="preserve">A. Przychody netto ze sprzedaży i zrównane z nimi, w tym: 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0F101" w14:textId="63363F5C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1</w:t>
            </w:r>
            <w:r w:rsidR="0007433D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7 250</w:t>
            </w:r>
            <w:r w:rsidR="00E367BD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 xml:space="preserve"> 000</w:t>
            </w:r>
            <w:r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,00</w:t>
            </w:r>
          </w:p>
        </w:tc>
      </w:tr>
      <w:tr w:rsidR="00601C9F" w:rsidRPr="00601C9F" w14:paraId="6D0418BF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68188" w14:textId="77777777" w:rsidR="00601C9F" w:rsidRPr="00601C9F" w:rsidRDefault="00601C9F" w:rsidP="00601C9F">
            <w:pPr>
              <w:widowControl/>
              <w:suppressAutoHyphens w:val="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 xml:space="preserve">      - dla jednostek powiązanych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42BE0" w14:textId="77777777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0CAF77C7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658A3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I.     Przychody netto ze sprzedaży produktów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34BCB" w14:textId="416A1393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1</w:t>
            </w:r>
            <w:r w:rsidR="0007433D">
              <w:rPr>
                <w:rFonts w:eastAsia="Times New Roman"/>
                <w:color w:val="000000"/>
                <w:sz w:val="20"/>
                <w:lang w:eastAsia="pl-PL"/>
              </w:rPr>
              <w:t>7 250</w:t>
            </w:r>
            <w:r w:rsidR="00E367BD">
              <w:rPr>
                <w:rFonts w:eastAsia="Times New Roman"/>
                <w:color w:val="000000"/>
                <w:sz w:val="20"/>
                <w:lang w:eastAsia="pl-PL"/>
              </w:rPr>
              <w:t xml:space="preserve"> 000</w:t>
            </w: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,00</w:t>
            </w:r>
          </w:p>
        </w:tc>
      </w:tr>
      <w:tr w:rsidR="00601C9F" w:rsidRPr="00601C9F" w14:paraId="50D86FDB" w14:textId="77777777" w:rsidTr="00601C9F">
        <w:trPr>
          <w:trHeight w:val="522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2B647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II.    Zmiana stanu produktów (zwiększenie – wartość dodatnia,    zmniejszenie – wartość ujemna)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7A959" w14:textId="07030A37" w:rsidR="00601C9F" w:rsidRPr="00601C9F" w:rsidRDefault="0007433D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lang w:eastAsia="pl-PL"/>
              </w:rPr>
              <w:t>-250 000,00</w:t>
            </w:r>
            <w:r w:rsidR="00601C9F" w:rsidRPr="00601C9F">
              <w:rPr>
                <w:rFonts w:eastAsia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37C2807C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80B10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III.   Koszt wytworzenia produktów na własne potrzeby jednostki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D2ADF" w14:textId="77777777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2BAB8CA0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7D5DC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IV.   Przychody netto ze sprzedaży towarów i materiałów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43754" w14:textId="77777777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0307F073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E9A62" w14:textId="77777777" w:rsidR="00601C9F" w:rsidRPr="00601C9F" w:rsidRDefault="00601C9F" w:rsidP="00601C9F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B. Koszty działalności operacyjnej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58DA6" w14:textId="51EC8E58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1</w:t>
            </w:r>
            <w:r w:rsidR="004D4211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7 335 000</w:t>
            </w:r>
            <w:r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,00</w:t>
            </w:r>
          </w:p>
        </w:tc>
      </w:tr>
      <w:tr w:rsidR="00601C9F" w:rsidRPr="00601C9F" w14:paraId="480DB307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028C4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I.     Amortyzacja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48E1DD" w14:textId="3A8899DF" w:rsidR="00601C9F" w:rsidRPr="00601C9F" w:rsidRDefault="00FC05CD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lang w:eastAsia="pl-PL"/>
              </w:rPr>
              <w:t>5</w:t>
            </w:r>
            <w:r w:rsidR="004D4211">
              <w:rPr>
                <w:rFonts w:eastAsia="Times New Roman"/>
                <w:color w:val="000000"/>
                <w:sz w:val="20"/>
                <w:lang w:eastAsia="pl-PL"/>
              </w:rPr>
              <w:t>2</w:t>
            </w:r>
            <w:r w:rsidR="00E367BD">
              <w:rPr>
                <w:rFonts w:eastAsia="Times New Roman"/>
                <w:color w:val="000000"/>
                <w:sz w:val="20"/>
                <w:lang w:eastAsia="pl-PL"/>
              </w:rPr>
              <w:t>0</w:t>
            </w:r>
            <w:r w:rsidR="00601C9F" w:rsidRPr="00601C9F">
              <w:rPr>
                <w:rFonts w:eastAsia="Times New Roman"/>
                <w:color w:val="000000"/>
                <w:sz w:val="20"/>
                <w:lang w:eastAsia="pl-PL"/>
              </w:rPr>
              <w:t xml:space="preserve"> 000,00</w:t>
            </w:r>
          </w:p>
        </w:tc>
      </w:tr>
      <w:tr w:rsidR="00601C9F" w:rsidRPr="00601C9F" w14:paraId="60F9FF8C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9E1EB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II.    Zużycie materiałów i energii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CCE10" w14:textId="4D6F8C0C" w:rsidR="00601C9F" w:rsidRPr="00601C9F" w:rsidRDefault="004D4211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lang w:eastAsia="pl-PL"/>
              </w:rPr>
              <w:t>1 0</w:t>
            </w:r>
            <w:r w:rsidR="00601C9F" w:rsidRPr="00601C9F">
              <w:rPr>
                <w:rFonts w:eastAsia="Times New Roman"/>
                <w:color w:val="000000"/>
                <w:sz w:val="20"/>
                <w:lang w:eastAsia="pl-PL"/>
              </w:rPr>
              <w:t>00 000,00</w:t>
            </w:r>
          </w:p>
        </w:tc>
      </w:tr>
      <w:tr w:rsidR="00601C9F" w:rsidRPr="00601C9F" w14:paraId="7BAEB431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D7F7D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III.   Usługi obce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0D23F" w14:textId="36FBB033" w:rsidR="00601C9F" w:rsidRPr="00601C9F" w:rsidRDefault="00E367BD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lang w:eastAsia="pl-PL"/>
              </w:rPr>
              <w:t xml:space="preserve">5 </w:t>
            </w:r>
            <w:r w:rsidR="004D4211">
              <w:rPr>
                <w:rFonts w:eastAsia="Times New Roman"/>
                <w:color w:val="000000"/>
                <w:sz w:val="20"/>
                <w:lang w:eastAsia="pl-PL"/>
              </w:rPr>
              <w:t>3</w:t>
            </w:r>
            <w:r w:rsidR="004E5722">
              <w:rPr>
                <w:rFonts w:eastAsia="Times New Roman"/>
                <w:color w:val="000000"/>
                <w:sz w:val="20"/>
                <w:lang w:eastAsia="pl-PL"/>
              </w:rPr>
              <w:t>00</w:t>
            </w:r>
            <w:r w:rsidR="00601C9F" w:rsidRPr="00601C9F">
              <w:rPr>
                <w:rFonts w:eastAsia="Times New Roman"/>
                <w:color w:val="000000"/>
                <w:sz w:val="20"/>
                <w:lang w:eastAsia="pl-PL"/>
              </w:rPr>
              <w:t xml:space="preserve"> 000,00</w:t>
            </w:r>
          </w:p>
        </w:tc>
      </w:tr>
      <w:tr w:rsidR="00601C9F" w:rsidRPr="00601C9F" w14:paraId="4992523B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3BEFF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IV.   Podatki i opłaty, w tym: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033EF0" w14:textId="26315720" w:rsidR="00601C9F" w:rsidRPr="00601C9F" w:rsidRDefault="00FC05CD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lang w:eastAsia="pl-PL"/>
              </w:rPr>
              <w:t>3</w:t>
            </w:r>
            <w:r w:rsidR="00E35CD4">
              <w:rPr>
                <w:rFonts w:eastAsia="Times New Roman"/>
                <w:color w:val="000000"/>
                <w:sz w:val="20"/>
                <w:lang w:eastAsia="pl-PL"/>
              </w:rPr>
              <w:t>5</w:t>
            </w:r>
            <w:r w:rsidR="00601C9F" w:rsidRPr="00601C9F">
              <w:rPr>
                <w:rFonts w:eastAsia="Times New Roman"/>
                <w:color w:val="000000"/>
                <w:sz w:val="20"/>
                <w:lang w:eastAsia="pl-PL"/>
              </w:rPr>
              <w:t>0 000,00</w:t>
            </w:r>
          </w:p>
        </w:tc>
      </w:tr>
      <w:tr w:rsidR="00601C9F" w:rsidRPr="00601C9F" w14:paraId="55B759C2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9817F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 xml:space="preserve">       - podatek akcyzowy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9935F" w14:textId="77777777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47462E32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B54CB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V.    Wynagrodzenia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0F079" w14:textId="4582E9EB" w:rsidR="00601C9F" w:rsidRPr="00601C9F" w:rsidRDefault="00E367BD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lang w:eastAsia="pl-PL"/>
              </w:rPr>
              <w:t>8</w:t>
            </w:r>
            <w:r w:rsidR="00E35CD4">
              <w:rPr>
                <w:rFonts w:eastAsia="Times New Roman"/>
                <w:color w:val="000000"/>
                <w:sz w:val="20"/>
                <w:lang w:eastAsia="pl-PL"/>
              </w:rPr>
              <w:t> 200 0</w:t>
            </w:r>
            <w:r w:rsidR="00601C9F" w:rsidRPr="00601C9F">
              <w:rPr>
                <w:rFonts w:eastAsia="Times New Roman"/>
                <w:color w:val="000000"/>
                <w:sz w:val="20"/>
                <w:lang w:eastAsia="pl-PL"/>
              </w:rPr>
              <w:t>00,00</w:t>
            </w:r>
          </w:p>
        </w:tc>
      </w:tr>
      <w:tr w:rsidR="00601C9F" w:rsidRPr="00601C9F" w14:paraId="1F717D13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6FEA4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VI.   Ubezpieczenia społeczne i inne świadczenia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3C88D" w14:textId="5A314533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  <w:r w:rsidR="00E35CD4">
              <w:rPr>
                <w:rFonts w:eastAsia="Times New Roman"/>
                <w:color w:val="000000"/>
                <w:sz w:val="20"/>
                <w:lang w:eastAsia="pl-PL"/>
              </w:rPr>
              <w:t>91</w:t>
            </w:r>
            <w:r w:rsidR="00E367BD">
              <w:rPr>
                <w:rFonts w:eastAsia="Times New Roman"/>
                <w:color w:val="000000"/>
                <w:sz w:val="20"/>
                <w:lang w:eastAsia="pl-PL"/>
              </w:rPr>
              <w:t>0</w:t>
            </w: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 xml:space="preserve"> 000,00</w:t>
            </w:r>
          </w:p>
        </w:tc>
      </w:tr>
      <w:tr w:rsidR="00601C9F" w:rsidRPr="00601C9F" w14:paraId="58D7141C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8100D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VII.  Pozostałe koszty rodzajowe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CADDE" w14:textId="5C54BDFB" w:rsidR="00601C9F" w:rsidRPr="00601C9F" w:rsidRDefault="004E5722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lang w:eastAsia="pl-PL"/>
              </w:rPr>
              <w:t>5</w:t>
            </w:r>
            <w:r w:rsidR="00601C9F" w:rsidRPr="00601C9F">
              <w:rPr>
                <w:rFonts w:eastAsia="Times New Roman"/>
                <w:color w:val="000000"/>
                <w:sz w:val="20"/>
                <w:lang w:eastAsia="pl-PL"/>
              </w:rPr>
              <w:t>0 000,00</w:t>
            </w:r>
          </w:p>
        </w:tc>
      </w:tr>
      <w:tr w:rsidR="00601C9F" w:rsidRPr="00601C9F" w14:paraId="35E6D064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B56C1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VIII. Wartość sprzedanych towarów i materiałów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C091F" w14:textId="77777777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117B2B68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555FB" w14:textId="77777777" w:rsidR="00601C9F" w:rsidRPr="00601C9F" w:rsidRDefault="00601C9F" w:rsidP="00601C9F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 xml:space="preserve">C. Zysk (strata) ze sprzedaży (A – B)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06D39" w14:textId="4E6F0F65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-</w:t>
            </w:r>
            <w:r w:rsidR="00E35CD4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85 0</w:t>
            </w:r>
            <w:r w:rsidR="00E367BD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00</w:t>
            </w:r>
            <w:r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,00</w:t>
            </w:r>
          </w:p>
        </w:tc>
      </w:tr>
      <w:tr w:rsidR="00601C9F" w:rsidRPr="00601C9F" w14:paraId="1EC3B552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CE676" w14:textId="77777777" w:rsidR="00601C9F" w:rsidRPr="00601C9F" w:rsidRDefault="00601C9F" w:rsidP="00601C9F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D. Pozostałe przychody operacyjne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200C0" w14:textId="602D5AC0" w:rsidR="00601C9F" w:rsidRPr="00601C9F" w:rsidRDefault="00FC05CD" w:rsidP="00601C9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1 0</w:t>
            </w:r>
            <w:r w:rsidR="00E35CD4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9</w:t>
            </w:r>
            <w:r w:rsidR="00E367BD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0 000</w:t>
            </w:r>
            <w:r w:rsidR="00601C9F"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,00</w:t>
            </w:r>
          </w:p>
        </w:tc>
      </w:tr>
      <w:tr w:rsidR="00601C9F" w:rsidRPr="00601C9F" w14:paraId="1E952C5B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FD006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I.     Zysk ze zbycia niefinansowych aktywów trwałych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C49B9" w14:textId="77777777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498CFAC9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352FC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II.    Dotacje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362AA" w14:textId="6370679E" w:rsidR="00601C9F" w:rsidRPr="00601C9F" w:rsidRDefault="00E35CD4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lang w:eastAsia="pl-PL"/>
              </w:rPr>
              <w:t>10</w:t>
            </w:r>
            <w:r w:rsidR="00E367BD">
              <w:rPr>
                <w:rFonts w:eastAsia="Times New Roman"/>
                <w:color w:val="000000"/>
                <w:sz w:val="20"/>
                <w:lang w:eastAsia="pl-PL"/>
              </w:rPr>
              <w:t>0 000,00</w:t>
            </w:r>
            <w:r w:rsidR="00601C9F" w:rsidRPr="00601C9F">
              <w:rPr>
                <w:rFonts w:eastAsia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251F8B47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DC17E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III.   Inne przychody operacyjne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4DBC3" w14:textId="503A2B95" w:rsidR="00601C9F" w:rsidRPr="00601C9F" w:rsidRDefault="00FC05CD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lang w:eastAsia="pl-PL"/>
              </w:rPr>
              <w:t>9</w:t>
            </w:r>
            <w:r w:rsidR="00E35CD4">
              <w:rPr>
                <w:rFonts w:eastAsia="Times New Roman"/>
                <w:color w:val="000000"/>
                <w:sz w:val="20"/>
                <w:lang w:eastAsia="pl-PL"/>
              </w:rPr>
              <w:t>9</w:t>
            </w:r>
            <w:r w:rsidR="00E367BD">
              <w:rPr>
                <w:rFonts w:eastAsia="Times New Roman"/>
                <w:color w:val="000000"/>
                <w:sz w:val="20"/>
                <w:lang w:eastAsia="pl-PL"/>
              </w:rPr>
              <w:t>0 000</w:t>
            </w:r>
            <w:r w:rsidR="00601C9F" w:rsidRPr="00601C9F">
              <w:rPr>
                <w:rFonts w:eastAsia="Times New Roman"/>
                <w:color w:val="000000"/>
                <w:sz w:val="20"/>
                <w:lang w:eastAsia="pl-PL"/>
              </w:rPr>
              <w:t>,00</w:t>
            </w:r>
          </w:p>
        </w:tc>
      </w:tr>
      <w:tr w:rsidR="00601C9F" w:rsidRPr="00601C9F" w14:paraId="5663A75F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EE88D" w14:textId="77777777" w:rsidR="00601C9F" w:rsidRPr="00601C9F" w:rsidRDefault="00601C9F" w:rsidP="00601C9F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E. Pozostałe koszty operacyjne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C4730" w14:textId="377630B6" w:rsidR="00601C9F" w:rsidRPr="00601C9F" w:rsidRDefault="00FC05CD" w:rsidP="00601C9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9</w:t>
            </w:r>
            <w:r w:rsidR="00E35CD4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5</w:t>
            </w:r>
            <w:r w:rsidR="00E367BD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0</w:t>
            </w:r>
            <w:r w:rsidR="00601C9F"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 xml:space="preserve"> 000,00</w:t>
            </w:r>
          </w:p>
        </w:tc>
      </w:tr>
      <w:tr w:rsidR="00601C9F" w:rsidRPr="00601C9F" w14:paraId="6570C40E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8C46C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 xml:space="preserve">I.     Strata ze zbycia niefinansowych aktywów trwałych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44610" w14:textId="77777777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045E9846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E2AD3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II.    Aktualizacja wartości aktywów niefinansowych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D9D0B" w14:textId="77777777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3EB7A18D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470C6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III.   Inne koszty operacyjne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73061" w14:textId="07FF99AF" w:rsidR="00601C9F" w:rsidRPr="00601C9F" w:rsidRDefault="00FC05CD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lang w:eastAsia="pl-PL"/>
              </w:rPr>
              <w:t>9</w:t>
            </w:r>
            <w:r w:rsidR="00E35CD4">
              <w:rPr>
                <w:rFonts w:eastAsia="Times New Roman"/>
                <w:color w:val="000000"/>
                <w:sz w:val="20"/>
                <w:lang w:eastAsia="pl-PL"/>
              </w:rPr>
              <w:t>5</w:t>
            </w:r>
            <w:r w:rsidR="00E367BD">
              <w:rPr>
                <w:rFonts w:eastAsia="Times New Roman"/>
                <w:color w:val="000000"/>
                <w:sz w:val="20"/>
                <w:lang w:eastAsia="pl-PL"/>
              </w:rPr>
              <w:t>0 0</w:t>
            </w:r>
            <w:r w:rsidR="00601C9F" w:rsidRPr="00601C9F">
              <w:rPr>
                <w:rFonts w:eastAsia="Times New Roman"/>
                <w:color w:val="000000"/>
                <w:sz w:val="20"/>
                <w:lang w:eastAsia="pl-PL"/>
              </w:rPr>
              <w:t>00,00</w:t>
            </w:r>
          </w:p>
        </w:tc>
      </w:tr>
      <w:tr w:rsidR="00601C9F" w:rsidRPr="00601C9F" w14:paraId="121CE4F7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D6D6C" w14:textId="5B7192C0" w:rsidR="00601C9F" w:rsidRPr="00601C9F" w:rsidRDefault="00601C9F" w:rsidP="00601C9F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 xml:space="preserve">F. Zysk (strata) z działalności </w:t>
            </w:r>
            <w:r w:rsidR="00FC05CD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operacyjnej</w:t>
            </w:r>
            <w:r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 xml:space="preserve">( C + D – E)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BA1D9" w14:textId="17CEC916" w:rsidR="00601C9F" w:rsidRPr="00601C9F" w:rsidRDefault="00E35CD4" w:rsidP="00601C9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55 0</w:t>
            </w:r>
            <w:r w:rsidR="00E367BD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00</w:t>
            </w:r>
            <w:r w:rsidR="00601C9F"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,00</w:t>
            </w:r>
          </w:p>
        </w:tc>
      </w:tr>
      <w:tr w:rsidR="00601C9F" w:rsidRPr="00601C9F" w14:paraId="625D2924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89731" w14:textId="77777777" w:rsidR="00601C9F" w:rsidRPr="00601C9F" w:rsidRDefault="00601C9F" w:rsidP="00601C9F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G. Przychody finansowe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D2D3D" w14:textId="0160D035" w:rsidR="00601C9F" w:rsidRPr="00601C9F" w:rsidRDefault="00E35CD4" w:rsidP="00601C9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3 0</w:t>
            </w:r>
            <w:r w:rsidR="00601C9F"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00,00</w:t>
            </w:r>
          </w:p>
        </w:tc>
      </w:tr>
      <w:tr w:rsidR="00601C9F" w:rsidRPr="00601C9F" w14:paraId="00883283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03BD2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I.     Dywidendy i udziały w zyskach, w tym: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3B6CA" w14:textId="77777777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13053438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677E0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 xml:space="preserve">       - od jednostek powiązanych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18D45" w14:textId="77777777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3DD6B579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0F9A1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II.    Odsetki, w tym: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564BF" w14:textId="0AA17625" w:rsidR="00601C9F" w:rsidRPr="00601C9F" w:rsidRDefault="00E35CD4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lang w:eastAsia="pl-PL"/>
              </w:rPr>
              <w:t>3 0</w:t>
            </w:r>
            <w:r w:rsidR="00601C9F" w:rsidRPr="00601C9F">
              <w:rPr>
                <w:rFonts w:eastAsia="Times New Roman"/>
                <w:color w:val="000000"/>
                <w:sz w:val="20"/>
                <w:lang w:eastAsia="pl-PL"/>
              </w:rPr>
              <w:t>00,00</w:t>
            </w:r>
          </w:p>
        </w:tc>
      </w:tr>
      <w:tr w:rsidR="00601C9F" w:rsidRPr="00601C9F" w14:paraId="25033D75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CC4BC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- od jednostek powiązanych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46213" w14:textId="77777777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2AFC41F3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98115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III.   Zysk ze zbycia inwestycji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9B25B" w14:textId="77777777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29ACC74B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AC88B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IV.  Aktualizacja wartości inwestycji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C37FD" w14:textId="77777777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4BCEAC77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64EAD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V.   Inne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53929" w14:textId="77777777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01AB3A9C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B3183" w14:textId="77777777" w:rsidR="00601C9F" w:rsidRPr="00601C9F" w:rsidRDefault="00601C9F" w:rsidP="00601C9F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H. Koszty finansowe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75816" w14:textId="741C1562" w:rsidR="00601C9F" w:rsidRPr="00601C9F" w:rsidRDefault="00E35CD4" w:rsidP="00601C9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50</w:t>
            </w:r>
            <w:r w:rsidR="00601C9F"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0,00</w:t>
            </w:r>
          </w:p>
        </w:tc>
      </w:tr>
      <w:tr w:rsidR="00601C9F" w:rsidRPr="00601C9F" w14:paraId="01210785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41477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I.    Odsetki, w tym: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1F000" w14:textId="46475013" w:rsidR="00601C9F" w:rsidRPr="00601C9F" w:rsidRDefault="00E35CD4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lang w:eastAsia="pl-PL"/>
              </w:rPr>
              <w:t>50</w:t>
            </w:r>
            <w:r w:rsidR="00601C9F" w:rsidRPr="00601C9F">
              <w:rPr>
                <w:rFonts w:eastAsia="Times New Roman"/>
                <w:color w:val="000000"/>
                <w:sz w:val="20"/>
                <w:lang w:eastAsia="pl-PL"/>
              </w:rPr>
              <w:t>0,00</w:t>
            </w:r>
          </w:p>
        </w:tc>
      </w:tr>
      <w:tr w:rsidR="00601C9F" w:rsidRPr="00601C9F" w14:paraId="7579BA0D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A32C9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 xml:space="preserve">      - dla jednostek powiązanych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B2F13" w14:textId="77777777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2529686C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36FDE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II.   Strata ze zbycia inwestycji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78E44" w14:textId="77777777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45B44E71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7C709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III.  Aktualizacja wartości inwestycji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B68E8" w14:textId="77777777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2FD57222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22DCD" w14:textId="77777777" w:rsidR="00601C9F" w:rsidRPr="00601C9F" w:rsidRDefault="00601C9F" w:rsidP="00601C9F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IV.  Inne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3E8C3" w14:textId="77777777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61E80076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84E68" w14:textId="39873A79" w:rsidR="00601C9F" w:rsidRPr="00601C9F" w:rsidRDefault="00601C9F" w:rsidP="00601C9F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lastRenderedPageBreak/>
              <w:t xml:space="preserve">I. Zysk (strata) </w:t>
            </w:r>
            <w:r w:rsidR="00FC05CD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brutto</w:t>
            </w:r>
            <w:r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 xml:space="preserve"> ( F + G – H)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4AD45" w14:textId="2A259ED8" w:rsidR="00601C9F" w:rsidRPr="00601C9F" w:rsidRDefault="00E35CD4" w:rsidP="00601C9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57 50</w:t>
            </w:r>
            <w:r w:rsidR="00E367BD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0</w:t>
            </w:r>
            <w:r w:rsidR="00601C9F"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,00</w:t>
            </w:r>
          </w:p>
        </w:tc>
      </w:tr>
      <w:tr w:rsidR="00601C9F" w:rsidRPr="00601C9F" w14:paraId="0EE2BC88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33001" w14:textId="6CAE88CA" w:rsidR="00601C9F" w:rsidRPr="00601C9F" w:rsidRDefault="00FC05CD" w:rsidP="00601C9F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J</w:t>
            </w:r>
            <w:r w:rsidR="00601C9F"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. Podatek dochodowy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5797E" w14:textId="77777777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10EEFAB1" w14:textId="77777777" w:rsidTr="00601C9F">
        <w:trPr>
          <w:trHeight w:val="255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7544C" w14:textId="09629518" w:rsidR="00601C9F" w:rsidRPr="00601C9F" w:rsidRDefault="00FC05CD" w:rsidP="00601C9F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K</w:t>
            </w:r>
            <w:r w:rsidR="00601C9F"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. Pozostałe obowiązkowe zmniejszenia zysku (zwiększenia straty)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9A580" w14:textId="77777777" w:rsidR="00601C9F" w:rsidRPr="00601C9F" w:rsidRDefault="00601C9F" w:rsidP="00601C9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</w:tr>
      <w:tr w:rsidR="00601C9F" w:rsidRPr="00601C9F" w14:paraId="2FB6B5F3" w14:textId="77777777" w:rsidTr="00601C9F">
        <w:trPr>
          <w:trHeight w:val="270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40DF3" w14:textId="6CDAC8BA" w:rsidR="00601C9F" w:rsidRPr="00601C9F" w:rsidRDefault="00FC05CD" w:rsidP="00601C9F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L</w:t>
            </w:r>
            <w:r w:rsidR="00601C9F"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 xml:space="preserve">. Zysk (strata) netto ( </w:t>
            </w:r>
            <w:r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I-J-K</w:t>
            </w:r>
            <w:r w:rsidR="00601C9F"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)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7FF38" w14:textId="5E343687" w:rsidR="00601C9F" w:rsidRPr="00601C9F" w:rsidRDefault="00E35CD4" w:rsidP="00601C9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57 50</w:t>
            </w:r>
            <w:r w:rsidR="00E367BD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0</w:t>
            </w:r>
            <w:r w:rsidR="00601C9F" w:rsidRPr="00601C9F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,00</w:t>
            </w:r>
          </w:p>
        </w:tc>
      </w:tr>
    </w:tbl>
    <w:p w14:paraId="531C9520" w14:textId="77777777" w:rsidR="00601C9F" w:rsidRDefault="00601C9F">
      <w:pPr>
        <w:widowControl/>
        <w:suppressAutoHyphens w:val="0"/>
        <w:jc w:val="both"/>
      </w:pPr>
    </w:p>
    <w:p w14:paraId="1F0B7FE7" w14:textId="2DD5CFDF" w:rsidR="00137AEB" w:rsidRPr="001A0FE4" w:rsidRDefault="00137AEB" w:rsidP="001A0FE4">
      <w:pPr>
        <w:pStyle w:val="Nagwek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321F7">
        <w:t xml:space="preserve"> </w:t>
      </w:r>
      <w:bookmarkStart w:id="15" w:name="_Toc104448294"/>
      <w:r w:rsidR="009321F7" w:rsidRPr="001A0FE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2.3. </w:t>
      </w:r>
      <w:r w:rsidR="009A4843">
        <w:rPr>
          <w:rFonts w:ascii="Times New Roman" w:hAnsi="Times New Roman" w:cs="Times New Roman"/>
          <w:b w:val="0"/>
          <w:color w:val="auto"/>
          <w:sz w:val="24"/>
          <w:szCs w:val="24"/>
        </w:rPr>
        <w:t>Prognoza bilansu na lata 20</w:t>
      </w:r>
      <w:r w:rsidR="00007D6B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F025AB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="009A4843">
        <w:rPr>
          <w:rFonts w:ascii="Times New Roman" w:hAnsi="Times New Roman" w:cs="Times New Roman"/>
          <w:b w:val="0"/>
          <w:color w:val="auto"/>
          <w:sz w:val="24"/>
          <w:szCs w:val="24"/>
        </w:rPr>
        <w:t>, 202</w:t>
      </w:r>
      <w:r w:rsidR="00F025AB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Pr="001A0FE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i 20</w:t>
      </w:r>
      <w:r w:rsidR="009A4843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bookmarkEnd w:id="15"/>
      <w:r w:rsidR="00F025AB"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</w:p>
    <w:tbl>
      <w:tblPr>
        <w:tblW w:w="90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1120"/>
        <w:gridCol w:w="3400"/>
        <w:gridCol w:w="1190"/>
      </w:tblGrid>
      <w:tr w:rsidR="00496298" w:rsidRPr="00496298" w14:paraId="1019BA80" w14:textId="77777777" w:rsidTr="00496298">
        <w:trPr>
          <w:trHeight w:val="735"/>
        </w:trPr>
        <w:tc>
          <w:tcPr>
            <w:tcW w:w="3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09FC4" w14:textId="1E967465" w:rsidR="00496298" w:rsidRPr="00496298" w:rsidRDefault="00244E6E" w:rsidP="0049629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Wojewódzki Zakład Opieki Zdrowotnej nad Matką, Dzieckiem i Młodzieżą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DDF45" w14:textId="77777777" w:rsidR="00496298" w:rsidRPr="00496298" w:rsidRDefault="00496298" w:rsidP="0049629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BILANS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B3554" w14:textId="77777777" w:rsidR="00496298" w:rsidRPr="00496298" w:rsidRDefault="00496298" w:rsidP="0049629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Przeznaczenie formularza</w:t>
            </w:r>
          </w:p>
        </w:tc>
      </w:tr>
      <w:tr w:rsidR="00496298" w:rsidRPr="00496298" w14:paraId="25305A03" w14:textId="77777777" w:rsidTr="00496298">
        <w:trPr>
          <w:trHeight w:val="390"/>
        </w:trPr>
        <w:tc>
          <w:tcPr>
            <w:tcW w:w="3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471F4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472FD" w14:textId="77777777" w:rsidR="00496298" w:rsidRPr="00496298" w:rsidRDefault="00496298" w:rsidP="0049629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C031E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96298" w:rsidRPr="00496298" w14:paraId="05C09A25" w14:textId="77777777" w:rsidTr="00496298">
        <w:trPr>
          <w:trHeight w:val="735"/>
        </w:trPr>
        <w:tc>
          <w:tcPr>
            <w:tcW w:w="3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9DCD6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9DCF9" w14:textId="295CC817" w:rsidR="00496298" w:rsidRPr="00496298" w:rsidRDefault="00496298" w:rsidP="0049629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na dzień 31.12.202</w:t>
            </w:r>
            <w:r w:rsidR="00D92BA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F377E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96298" w:rsidRPr="00496298" w14:paraId="3ACAFFFB" w14:textId="77777777" w:rsidTr="00496298">
        <w:trPr>
          <w:trHeight w:val="1080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627DA" w14:textId="77777777" w:rsidR="00496298" w:rsidRPr="00496298" w:rsidRDefault="00496298" w:rsidP="0049629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AKTYWA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3A8B1" w14:textId="77777777" w:rsidR="00496298" w:rsidRPr="00496298" w:rsidRDefault="00496298" w:rsidP="0049629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Stan na koniec bieżącego roku obrotowego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B679D" w14:textId="77777777" w:rsidR="00496298" w:rsidRPr="00496298" w:rsidRDefault="00496298" w:rsidP="0049629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PASYWA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2DFA7" w14:textId="77777777" w:rsidR="00496298" w:rsidRPr="00496298" w:rsidRDefault="00496298" w:rsidP="0049629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Stan na koniec bieżącego roku obrotowego</w:t>
            </w:r>
          </w:p>
        </w:tc>
      </w:tr>
      <w:tr w:rsidR="00496298" w:rsidRPr="00496298" w14:paraId="666B5CE0" w14:textId="77777777" w:rsidTr="00496298">
        <w:trPr>
          <w:trHeight w:val="40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B12C2" w14:textId="77777777" w:rsidR="00496298" w:rsidRPr="00496298" w:rsidRDefault="00496298" w:rsidP="0049629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B5665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E4A30" w14:textId="77777777" w:rsidR="00496298" w:rsidRPr="00496298" w:rsidRDefault="00496298" w:rsidP="0049629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10A0C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123E39C5" w14:textId="77777777" w:rsidTr="00496298">
        <w:trPr>
          <w:trHeight w:val="40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6FA95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A. AKTYWA TRWAŁE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7ED9D" w14:textId="3B0F9946" w:rsidR="00496298" w:rsidRPr="00496298" w:rsidRDefault="00D92BA3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2 825 844</w:t>
            </w:r>
            <w:r w:rsidR="00496298" w:rsidRPr="004962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35E74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A. KAPITAŁ (FUNDUSZ) WŁASNY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B4761" w14:textId="7C41B35B" w:rsidR="00496298" w:rsidRPr="00496298" w:rsidRDefault="00F3670B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  <w:r w:rsidR="00D92B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871 943,76</w:t>
            </w:r>
          </w:p>
        </w:tc>
      </w:tr>
      <w:tr w:rsidR="00496298" w:rsidRPr="00496298" w14:paraId="51D9BE13" w14:textId="77777777" w:rsidTr="00496298">
        <w:trPr>
          <w:trHeight w:val="28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AF2D6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I. Wartości niematerialne i prawne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2E565" w14:textId="7398E5C5" w:rsidR="00496298" w:rsidRPr="00496298" w:rsidRDefault="00F3670B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="00D92B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  <w:r w:rsidR="00496298"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0 000,00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70BAA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I. Kapitał (fundusz) podstawowy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74689" w14:textId="77777777" w:rsidR="00496298" w:rsidRPr="00496298" w:rsidRDefault="00496298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1 798 276,26</w:t>
            </w:r>
          </w:p>
        </w:tc>
      </w:tr>
      <w:tr w:rsidR="00496298" w:rsidRPr="00496298" w14:paraId="23069052" w14:textId="77777777" w:rsidTr="00496298">
        <w:trPr>
          <w:trHeight w:val="450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DC39C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1. Koszty zakończonych prac rozwojowych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5EFF2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2DA34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II. Należne wpłaty na kapitał podstawowy (wielkość ujemna)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9B4B6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22BE0A55" w14:textId="77777777" w:rsidTr="00496298">
        <w:trPr>
          <w:trHeight w:val="40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B6A56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2. Wartość firmy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B4932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3E8D7" w14:textId="74024B4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III. Udziały (akcje) własne (wielkoś</w:t>
            </w:r>
            <w:r w:rsidR="005316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ć </w:t>
            </w: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ujemna)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86CAE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5BE2C44A" w14:textId="77777777" w:rsidTr="00496298">
        <w:trPr>
          <w:trHeight w:val="40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F1E6A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3. Inne wartości niematerialne i prawne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EC9E9" w14:textId="47973F67" w:rsidR="00496298" w:rsidRPr="00496298" w:rsidRDefault="00F3670B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="00D92B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  <w:r w:rsidR="00496298"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0 000,00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4BDCC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IV. Kapitał (fundusz) zapasowy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1FFE5" w14:textId="423B55CA" w:rsidR="00496298" w:rsidRPr="00496298" w:rsidRDefault="00496298" w:rsidP="00D92BA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  <w:r w:rsidR="00D92B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</w:t>
            </w:r>
            <w:r w:rsidR="00575CF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D92B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487,50</w:t>
            </w:r>
          </w:p>
        </w:tc>
      </w:tr>
      <w:tr w:rsidR="00496298" w:rsidRPr="00496298" w14:paraId="4B249893" w14:textId="77777777" w:rsidTr="00496298">
        <w:trPr>
          <w:trHeight w:val="450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12B64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4. Zaliczki na wartości niematerialne i prawne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A735E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8C765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V. Kapitał (fundusz) z aktualizacji wyceny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65D43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7AE83151" w14:textId="77777777" w:rsidTr="00496298">
        <w:trPr>
          <w:trHeight w:val="40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E12F2" w14:textId="0B321A4C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II.</w:t>
            </w:r>
            <w:r w:rsidR="005316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Rzeczowe aktywa trwałe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9BC10" w14:textId="2D408589" w:rsidR="00496298" w:rsidRPr="00496298" w:rsidRDefault="00D92BA3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2 645 844</w:t>
            </w:r>
            <w:r w:rsidR="00496298"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065BD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VI. Pozostałe kapitały (fundusze) rezerwowe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BD8C8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1ED1006C" w14:textId="77777777" w:rsidTr="00496298">
        <w:trPr>
          <w:trHeight w:val="40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8E743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1. Środki trwałe: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CD27A" w14:textId="6AA401A7" w:rsidR="00496298" w:rsidRPr="00496298" w:rsidRDefault="00D92BA3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2 645 844</w:t>
            </w:r>
            <w:r w:rsidR="00496298"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363B1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VII. Zysk (strata) z lat ubiegłych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4612F" w14:textId="0E944EF7" w:rsidR="00496298" w:rsidRPr="00496298" w:rsidRDefault="00496298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96298" w:rsidRPr="00496298" w14:paraId="065D5F76" w14:textId="77777777" w:rsidTr="00496298">
        <w:trPr>
          <w:trHeight w:val="450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9F97D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a) grunty (w tym prawo użytkowania wieczystego gruntu)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50A79" w14:textId="77777777" w:rsidR="00496298" w:rsidRPr="00496298" w:rsidRDefault="00496298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164 000,00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FAA88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VIII. Zysk (strata) netto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E16CB" w14:textId="2C3B04FA" w:rsidR="00496298" w:rsidRPr="00496298" w:rsidRDefault="00F3670B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</w:t>
            </w:r>
            <w:r w:rsidR="00D92B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7 180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,00</w:t>
            </w:r>
          </w:p>
        </w:tc>
      </w:tr>
      <w:tr w:rsidR="00496298" w:rsidRPr="00496298" w14:paraId="0083BF71" w14:textId="77777777" w:rsidTr="00496298">
        <w:trPr>
          <w:trHeight w:val="58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3F321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b) budynki, lokale i obiekty inżynierii lądowej i wodnej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31AD8" w14:textId="176CB2B4" w:rsidR="00496298" w:rsidRPr="00496298" w:rsidRDefault="00496298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="00D92B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503 415</w:t>
            </w: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9B2D9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IX.  Odpisy z zysku netto w ciągu roku obrotowego - </w:t>
            </w:r>
            <w:proofErr w:type="spellStart"/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watość</w:t>
            </w:r>
            <w:proofErr w:type="spellEnd"/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ujemna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F1BA1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5DA9D164" w14:textId="77777777" w:rsidTr="00496298">
        <w:trPr>
          <w:trHeight w:val="450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3FE42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c) urządzenia techniczne i maszyny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E0A44" w14:textId="71225078" w:rsidR="00496298" w:rsidRPr="00496298" w:rsidRDefault="00D92BA3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946 429</w:t>
            </w:r>
            <w:r w:rsidR="00496298"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C7AF0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B. ZOBOWIĄZANIA I REZERWY NA ZOBOWIĄZANIA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537C8" w14:textId="78F8E67E" w:rsidR="00496298" w:rsidRPr="00496298" w:rsidRDefault="00496298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</w:t>
            </w:r>
            <w:r w:rsidR="00D92B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323 900,24</w:t>
            </w:r>
          </w:p>
        </w:tc>
      </w:tr>
      <w:tr w:rsidR="00496298" w:rsidRPr="00496298" w14:paraId="66900EB6" w14:textId="77777777" w:rsidTr="00496298">
        <w:trPr>
          <w:trHeight w:val="40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2CC15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d) środki transportu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C2AE7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6C1A0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I. Rezerwy na zobowiązania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EEB92" w14:textId="522EC839" w:rsidR="00496298" w:rsidRPr="00496298" w:rsidRDefault="00F3670B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  <w:r w:rsidR="00D92B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60 000,00</w:t>
            </w:r>
          </w:p>
        </w:tc>
      </w:tr>
      <w:tr w:rsidR="00496298" w:rsidRPr="00496298" w14:paraId="382E353F" w14:textId="77777777" w:rsidTr="00496298">
        <w:trPr>
          <w:trHeight w:val="450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151AE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e) inne środki trwałe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759D3" w14:textId="6525C015" w:rsidR="00496298" w:rsidRPr="00496298" w:rsidRDefault="00F3670B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  <w:r w:rsidR="00D92B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  <w:r w:rsidR="00496298"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000,00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DD6C8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1. Rezerwa z tytułu odroczonego podatku dochodowego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59C69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1A03AD36" w14:textId="77777777" w:rsidTr="00496298">
        <w:trPr>
          <w:trHeight w:val="450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D8834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2. Środki trwałe w budowie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F1653" w14:textId="77777777" w:rsidR="00496298" w:rsidRPr="00496298" w:rsidRDefault="00496298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8230E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2. Rezerwa na świadczenia emerytalne i podobne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58CB5" w14:textId="49147137" w:rsidR="00496298" w:rsidRPr="00496298" w:rsidRDefault="00D92BA3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510 000,00</w:t>
            </w:r>
          </w:p>
        </w:tc>
      </w:tr>
      <w:tr w:rsidR="00496298" w:rsidRPr="00496298" w14:paraId="19C57428" w14:textId="77777777" w:rsidTr="00496298">
        <w:trPr>
          <w:trHeight w:val="40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89F9A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3. Zaliczki na środki trwałe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F8627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A4A48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- długoterminowa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063E7" w14:textId="153580EB" w:rsidR="00496298" w:rsidRPr="00496298" w:rsidRDefault="00D92BA3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190 000,00</w:t>
            </w:r>
          </w:p>
        </w:tc>
      </w:tr>
      <w:tr w:rsidR="00496298" w:rsidRPr="00496298" w14:paraId="1D18C7DF" w14:textId="77777777" w:rsidTr="00496298">
        <w:trPr>
          <w:trHeight w:val="40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5D0D6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III. Należności długoterminowe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98552" w14:textId="77777777" w:rsidR="00496298" w:rsidRPr="00496298" w:rsidRDefault="00496298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C83FD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- krótkoterminowa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05BA6" w14:textId="69A8584A" w:rsidR="00496298" w:rsidRPr="00496298" w:rsidRDefault="00575CF4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320 000,00</w:t>
            </w:r>
          </w:p>
        </w:tc>
      </w:tr>
      <w:tr w:rsidR="00496298" w:rsidRPr="00496298" w14:paraId="4E63C6B8" w14:textId="77777777" w:rsidTr="00496298">
        <w:trPr>
          <w:trHeight w:val="40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8844F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1. Od jednostek powiązanych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8C3C8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BBDE1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3. Pozostałe rezerwy -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01BB6" w14:textId="2F7D3609" w:rsidR="00496298" w:rsidRPr="00496298" w:rsidRDefault="00575CF4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</w:t>
            </w:r>
            <w:r w:rsidR="00F3670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000</w:t>
            </w:r>
            <w:r w:rsidR="00496298"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,00</w:t>
            </w:r>
          </w:p>
        </w:tc>
      </w:tr>
      <w:tr w:rsidR="00496298" w:rsidRPr="00496298" w14:paraId="145FC137" w14:textId="77777777" w:rsidTr="00496298">
        <w:trPr>
          <w:trHeight w:val="40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B641F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2. Od pozostałych jednostek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CECF3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B117F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- długoterminowa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B3291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3A01ADD7" w14:textId="77777777" w:rsidTr="00496298">
        <w:trPr>
          <w:trHeight w:val="40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41AF8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IV. Inwestycje długoterminowe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B7A94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A5B7B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- krótkoterminowa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43DC0" w14:textId="16A9EDA6" w:rsidR="00496298" w:rsidRPr="00496298" w:rsidRDefault="00575CF4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</w:t>
            </w:r>
            <w:r w:rsidR="00F3670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000</w:t>
            </w:r>
            <w:r w:rsidR="00496298"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,00</w:t>
            </w:r>
          </w:p>
        </w:tc>
      </w:tr>
      <w:tr w:rsidR="00496298" w:rsidRPr="00496298" w14:paraId="17583F33" w14:textId="77777777" w:rsidTr="00496298">
        <w:trPr>
          <w:trHeight w:val="40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6E8B2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1. Nieruchomości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9DB78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5462A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II. Zobowiązania długoterminowe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17C3E" w14:textId="77777777" w:rsidR="00496298" w:rsidRPr="00496298" w:rsidRDefault="00496298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0,00</w:t>
            </w:r>
          </w:p>
        </w:tc>
      </w:tr>
      <w:tr w:rsidR="00496298" w:rsidRPr="00496298" w14:paraId="3F767DD1" w14:textId="77777777" w:rsidTr="00496298">
        <w:trPr>
          <w:trHeight w:val="40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D57ED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 xml:space="preserve">   2. Wartości niematerialne i prawne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2F51D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24774" w14:textId="2D898C0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1. Wobec jednostek </w:t>
            </w:r>
            <w:r w:rsidR="005316DB"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powiązanych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C18F6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4896CBD4" w14:textId="77777777" w:rsidTr="00496298">
        <w:trPr>
          <w:trHeight w:val="40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59CB5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3. Długoterminowe aktywa finansowe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9A72B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EE72D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2. Wobec pozostałych jednostek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778ED" w14:textId="77777777" w:rsidR="00496298" w:rsidRPr="00496298" w:rsidRDefault="00496298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0,00</w:t>
            </w:r>
          </w:p>
        </w:tc>
      </w:tr>
      <w:tr w:rsidR="00496298" w:rsidRPr="00496298" w14:paraId="165B02C6" w14:textId="77777777" w:rsidTr="00496298">
        <w:trPr>
          <w:trHeight w:val="40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6528A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a) w jednostkach powiązanych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95FC2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B7755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a) kredyty i pożyczki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DDA42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75C794D2" w14:textId="77777777" w:rsidTr="00496298">
        <w:trPr>
          <w:trHeight w:val="450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635E1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- udziały lub akcje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DCB50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D75FC" w14:textId="3F456B2E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b) z tytułu emisji </w:t>
            </w:r>
            <w:r w:rsidR="005316DB"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dłużnych</w:t>
            </w: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papierów wartościowych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407AE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6C5728AF" w14:textId="77777777" w:rsidTr="00496298">
        <w:trPr>
          <w:trHeight w:val="40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52AD0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- inne papiery wartościowe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81E0A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5537A" w14:textId="232A0E93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c) inne </w:t>
            </w:r>
            <w:r w:rsidR="005316DB"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zobowiązania</w:t>
            </w: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finansowe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0541A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21AA6414" w14:textId="77777777" w:rsidTr="00496298">
        <w:trPr>
          <w:trHeight w:val="40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0A71A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- udzielone pożyczki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76F15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D3BE9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d) inne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05E31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4832EA4D" w14:textId="77777777" w:rsidTr="00496298">
        <w:trPr>
          <w:trHeight w:val="450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E2AC9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- inne długoterminowe aktywa finansowe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C1A7E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11377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III. Zobowiązania krótkoterminowe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47ED8" w14:textId="4C913667" w:rsidR="00496298" w:rsidRPr="00496298" w:rsidRDefault="00575CF4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1 510 000,00</w:t>
            </w:r>
          </w:p>
        </w:tc>
      </w:tr>
      <w:tr w:rsidR="00496298" w:rsidRPr="00496298" w14:paraId="0D608012" w14:textId="77777777" w:rsidTr="00496298">
        <w:trPr>
          <w:trHeight w:val="40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370E6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b) w pozostałych jednostkach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F1B17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F4500" w14:textId="3E12BC3D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1. Wobec jednostek </w:t>
            </w:r>
            <w:r w:rsidR="005316DB"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powiązanych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716C0" w14:textId="77777777" w:rsidR="00496298" w:rsidRPr="00496298" w:rsidRDefault="00496298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0,00</w:t>
            </w:r>
          </w:p>
        </w:tc>
      </w:tr>
      <w:tr w:rsidR="00496298" w:rsidRPr="00496298" w14:paraId="39CD847A" w14:textId="77777777" w:rsidTr="00496298">
        <w:trPr>
          <w:trHeight w:val="28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DEE7B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- udziały lub akcje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2CA82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FD7A8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a) z tytułu dostaw i usług, o okresie wymagalności: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140BD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7B0B0990" w14:textId="77777777" w:rsidTr="00496298">
        <w:trPr>
          <w:trHeight w:val="40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012CA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- inne papiery wartościowe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D9A63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89AFD" w14:textId="0C4547E8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- do 12 </w:t>
            </w:r>
            <w:r w:rsidR="005316DB"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miesięcy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E9948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28BB92A4" w14:textId="77777777" w:rsidTr="00496298">
        <w:trPr>
          <w:trHeight w:val="40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ADDAC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- udzielone pożyczki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6F790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40E53" w14:textId="491E0FEC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- powyżej 12 </w:t>
            </w:r>
            <w:r w:rsidR="005316DB"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miesięcy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67D24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5DAEC435" w14:textId="77777777" w:rsidTr="00496298">
        <w:trPr>
          <w:trHeight w:val="40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558C6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- inne długoterminowe aktywa finansowe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B6A6F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F219A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b) inne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905C3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227AEEA3" w14:textId="77777777" w:rsidTr="00496298">
        <w:trPr>
          <w:trHeight w:val="40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A1234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4. Inne inwestycje długoterminowe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9236A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08122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2. Wobec pozostałych jednostek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6D734" w14:textId="39BEB217" w:rsidR="00496298" w:rsidRPr="00496298" w:rsidRDefault="00575CF4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1 490 000,00</w:t>
            </w:r>
          </w:p>
        </w:tc>
      </w:tr>
      <w:tr w:rsidR="00496298" w:rsidRPr="00496298" w14:paraId="4A973BED" w14:textId="77777777" w:rsidTr="00496298">
        <w:trPr>
          <w:trHeight w:val="450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1A9B8" w14:textId="7A129E0C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V. Długoterminowe </w:t>
            </w:r>
            <w:r w:rsidR="005316DB"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rozliczenia</w:t>
            </w: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5316DB"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międzyokresowe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8F51F" w14:textId="77777777" w:rsidR="00496298" w:rsidRPr="00496298" w:rsidRDefault="00496298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09B13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a) kredyty i pożyczki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A088F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086DE1DC" w14:textId="77777777" w:rsidTr="00496298">
        <w:trPr>
          <w:trHeight w:val="450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2D51B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1. Aktywa z tytułu odroczonego podatku dochodowego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636C3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FBB64" w14:textId="1C957E79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b) z tytułu emisji </w:t>
            </w:r>
            <w:r w:rsidR="005316DB"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dłużnych</w:t>
            </w: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papierów wartościowych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4E263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67FDC976" w14:textId="77777777" w:rsidTr="00496298">
        <w:trPr>
          <w:trHeight w:val="40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E6BFE" w14:textId="4AFF5038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2. Inne </w:t>
            </w:r>
            <w:r w:rsidR="005316DB"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rozliczenia</w:t>
            </w: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5316DB"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międzyokresowe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1DC84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5ADDC" w14:textId="2C53DDE1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c) inne </w:t>
            </w:r>
            <w:r w:rsidR="005316DB"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zobowiązania</w:t>
            </w: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finansowe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BBF10" w14:textId="77777777" w:rsidR="00496298" w:rsidRPr="00496298" w:rsidRDefault="00496298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0,00</w:t>
            </w:r>
          </w:p>
        </w:tc>
      </w:tr>
      <w:tr w:rsidR="00496298" w:rsidRPr="00496298" w14:paraId="60AF4662" w14:textId="77777777" w:rsidTr="00496298">
        <w:trPr>
          <w:trHeight w:val="450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6AF6D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B. AKTYWA OBROTOWE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4B03A" w14:textId="08140C63" w:rsidR="00496298" w:rsidRPr="00496298" w:rsidRDefault="00575CF4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2 370 000</w:t>
            </w:r>
            <w:r w:rsidR="00496298" w:rsidRPr="004962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993CA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d) z tytułu dostaw i usług, o okresie wymagalności: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76374" w14:textId="093710ED" w:rsidR="00496298" w:rsidRPr="00496298" w:rsidRDefault="00575CF4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495 000,00</w:t>
            </w:r>
          </w:p>
        </w:tc>
      </w:tr>
      <w:tr w:rsidR="00496298" w:rsidRPr="00496298" w14:paraId="2A0E2C25" w14:textId="77777777" w:rsidTr="00496298">
        <w:trPr>
          <w:trHeight w:val="40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C175C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I. Zapasy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904A2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37705" w14:textId="7F25167A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- do 12 </w:t>
            </w:r>
            <w:r w:rsidR="005316DB"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miesięcy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9CF30" w14:textId="56F1AC64" w:rsidR="00496298" w:rsidRPr="00496298" w:rsidRDefault="00575CF4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495 000,00</w:t>
            </w:r>
          </w:p>
        </w:tc>
      </w:tr>
      <w:tr w:rsidR="00496298" w:rsidRPr="00496298" w14:paraId="1B27CB24" w14:textId="77777777" w:rsidTr="00496298">
        <w:trPr>
          <w:trHeight w:val="40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05AC2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1. Materiały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6C414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D19FE" w14:textId="3A8FE8BC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- powyżej 12 </w:t>
            </w:r>
            <w:r w:rsidR="005316DB"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miesięcy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B0051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177966CE" w14:textId="77777777" w:rsidTr="00496298">
        <w:trPr>
          <w:trHeight w:val="40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8E1E5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2. Półprodukty i produkty w toku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EEDE9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9F263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e) zaliczki otrzymane na dostawy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4ABA3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7F345507" w14:textId="77777777" w:rsidTr="00496298">
        <w:trPr>
          <w:trHeight w:val="40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9B777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3. Produkty gotowe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026C6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C4BE8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f) zobowiązania wekslowe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8ABD0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5EF0FA95" w14:textId="77777777" w:rsidTr="00496298">
        <w:trPr>
          <w:trHeight w:val="450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EE129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4. Towary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09FDC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19D14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g) z tytułu podatków, ceł, ubezpieczeń i innych świadczeń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3E04F" w14:textId="1C8FEC30" w:rsidR="00496298" w:rsidRPr="00496298" w:rsidRDefault="00575CF4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  <w:r w:rsidR="00496298"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50 000,00</w:t>
            </w:r>
          </w:p>
        </w:tc>
      </w:tr>
      <w:tr w:rsidR="00496298" w:rsidRPr="00496298" w14:paraId="356F092D" w14:textId="77777777" w:rsidTr="00496298">
        <w:trPr>
          <w:trHeight w:val="40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A15B2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5. Zaliczki na dostawy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F3943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492E2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h) z tytułu wynagrodzeń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3D63F" w14:textId="159A1C53" w:rsidR="00496298" w:rsidRPr="00496298" w:rsidRDefault="00575CF4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425</w:t>
            </w:r>
            <w:r w:rsidR="00496298"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000,00</w:t>
            </w:r>
          </w:p>
        </w:tc>
      </w:tr>
      <w:tr w:rsidR="00496298" w:rsidRPr="00496298" w14:paraId="28AA7C67" w14:textId="77777777" w:rsidTr="00496298">
        <w:trPr>
          <w:trHeight w:val="40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FD876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II. Należności krótkoterminowe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03441" w14:textId="21D49FD2" w:rsidR="00496298" w:rsidRPr="00496298" w:rsidRDefault="00F3670B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1 3</w:t>
            </w:r>
            <w:r w:rsidR="00575CF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0 000</w:t>
            </w:r>
            <w:r w:rsidR="00496298"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19887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i) inne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530B5" w14:textId="55A05D27" w:rsidR="00496298" w:rsidRPr="00496298" w:rsidRDefault="00575CF4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</w:t>
            </w:r>
            <w:r w:rsidR="00496298"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000,00</w:t>
            </w:r>
          </w:p>
        </w:tc>
      </w:tr>
      <w:tr w:rsidR="00496298" w:rsidRPr="00496298" w14:paraId="0F837EDA" w14:textId="77777777" w:rsidTr="00496298">
        <w:trPr>
          <w:trHeight w:val="40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33D95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1. Należności od jednostek powiązanych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E3F83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78240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3. Fundusze specjalne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C75E4" w14:textId="6F6C4B83" w:rsidR="00496298" w:rsidRPr="00496298" w:rsidRDefault="00575CF4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</w:t>
            </w:r>
            <w:r w:rsidR="00496298"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000,00</w:t>
            </w:r>
          </w:p>
        </w:tc>
      </w:tr>
      <w:tr w:rsidR="00496298" w:rsidRPr="00496298" w14:paraId="592B5FB2" w14:textId="77777777" w:rsidTr="00496298">
        <w:trPr>
          <w:trHeight w:val="40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62E90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a) z tytułu dostaw i usług, o okresie spłaty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51B15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CED7C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IV. Rozliczenia międzyokresowe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FADCC" w14:textId="6B1CD6A3" w:rsidR="00496298" w:rsidRPr="00496298" w:rsidRDefault="00496298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="00575CF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253 900,24</w:t>
            </w:r>
          </w:p>
        </w:tc>
      </w:tr>
      <w:tr w:rsidR="00496298" w:rsidRPr="00496298" w14:paraId="145F5F5A" w14:textId="77777777" w:rsidTr="00496298">
        <w:trPr>
          <w:trHeight w:val="40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321C7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- do 12 miesięcy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3C1A2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844E3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1. Ujemna wartość firmy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7748E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6E788BE9" w14:textId="77777777" w:rsidTr="00496298">
        <w:trPr>
          <w:trHeight w:val="40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9CB99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- powyżej 12 miesięcy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48680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88EC6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2. Inne rozliczenia międzyokresowe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A3D90" w14:textId="07A6EE7C" w:rsidR="00496298" w:rsidRPr="00496298" w:rsidRDefault="00496298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="00575CF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253 900,24</w:t>
            </w:r>
          </w:p>
        </w:tc>
      </w:tr>
      <w:tr w:rsidR="00496298" w:rsidRPr="00496298" w14:paraId="69975424" w14:textId="77777777" w:rsidTr="00496298">
        <w:trPr>
          <w:trHeight w:val="40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C583E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b) inne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1F9E6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CA8F3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- długoterminowe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A3531" w14:textId="6AE0F8C4" w:rsidR="00496298" w:rsidRPr="00496298" w:rsidRDefault="00575CF4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  <w:r w:rsidR="00F3670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80</w:t>
            </w:r>
            <w:r w:rsidR="00496298"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000,00</w:t>
            </w:r>
          </w:p>
        </w:tc>
      </w:tr>
      <w:tr w:rsidR="00496298" w:rsidRPr="00496298" w14:paraId="2834DB91" w14:textId="77777777" w:rsidTr="00496298">
        <w:trPr>
          <w:trHeight w:val="40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3E3E2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2. Należności od pozostałych jednostek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A4A23" w14:textId="495090D4" w:rsidR="00496298" w:rsidRPr="00496298" w:rsidRDefault="00F3670B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1 3</w:t>
            </w:r>
            <w:r w:rsidR="00575CF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</w:t>
            </w:r>
            <w:r w:rsidR="00496298"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000,00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B166E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- krótkoterminowe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83B39" w14:textId="62C8B9F5" w:rsidR="00496298" w:rsidRPr="00496298" w:rsidRDefault="00FC05CD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573 900,24</w:t>
            </w:r>
          </w:p>
        </w:tc>
      </w:tr>
      <w:tr w:rsidR="00496298" w:rsidRPr="00496298" w14:paraId="7984949A" w14:textId="77777777" w:rsidTr="00496298">
        <w:trPr>
          <w:trHeight w:val="40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805B2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a) z tytułu dostaw i usług, o okresie spłaty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F441A" w14:textId="124311EF" w:rsidR="00496298" w:rsidRPr="00496298" w:rsidRDefault="00F3670B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1 3</w:t>
            </w:r>
            <w:r w:rsidR="00575CF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</w:t>
            </w:r>
            <w:r w:rsidR="00496298"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000,00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44308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C5C7A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7EF890F4" w14:textId="77777777" w:rsidTr="00496298">
        <w:trPr>
          <w:trHeight w:val="40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5C171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- do 12 miesięcy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B02AB" w14:textId="3B6E2726" w:rsidR="00496298" w:rsidRPr="00496298" w:rsidRDefault="00F3670B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1 3</w:t>
            </w:r>
            <w:r w:rsidR="00575CF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</w:t>
            </w:r>
            <w:r w:rsidR="00496298"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000,00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1FBE9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A16C7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4C04FE10" w14:textId="77777777" w:rsidTr="00496298">
        <w:trPr>
          <w:trHeight w:val="600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DD77B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- powyżej 12 miesięcy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04074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599E1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D0A69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7FCDD29F" w14:textId="77777777" w:rsidTr="00496298">
        <w:trPr>
          <w:trHeight w:val="630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3942F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 xml:space="preserve">       b) z tytułu podatków, dotacji, ceł, ubezpieczeń                   .      społecznych i zdrowotnych oraz innych świadczeń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8D041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A06C8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31732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027FB374" w14:textId="77777777" w:rsidTr="00496298">
        <w:trPr>
          <w:trHeight w:val="40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60876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c) inne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F6384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9B831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BDF3C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53DFC829" w14:textId="77777777" w:rsidTr="00496298">
        <w:trPr>
          <w:trHeight w:val="40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41485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d) dochodzone na drodze sądowej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4390A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D15D0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ABCF6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42DE1532" w14:textId="77777777" w:rsidTr="00496298">
        <w:trPr>
          <w:trHeight w:val="40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EBFD6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III. Inwestycje krótkoterminowe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257A7" w14:textId="4C5DC6B4" w:rsidR="00496298" w:rsidRPr="00496298" w:rsidRDefault="00575CF4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1 000 0</w:t>
            </w:r>
            <w:r w:rsidR="00496298"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00,00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94C26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B4DA3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4F2E0B7B" w14:textId="77777777" w:rsidTr="00496298">
        <w:trPr>
          <w:trHeight w:val="40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FF4BB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1. Krótkoterminowe aktywa finansowe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C9469" w14:textId="4DF59790" w:rsidR="00496298" w:rsidRPr="00496298" w:rsidRDefault="00575CF4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1 000 0</w:t>
            </w:r>
            <w:r w:rsidR="00496298"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00,00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637E4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B0510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3430DAF0" w14:textId="77777777" w:rsidTr="00496298">
        <w:trPr>
          <w:trHeight w:val="40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B5144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a) w jednostkach powiązanych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96089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968E0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90BA8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3EBC6710" w14:textId="77777777" w:rsidTr="00496298">
        <w:trPr>
          <w:trHeight w:val="40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BF7C9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- udziały lub akcje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DC89D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60CC6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4C453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74CB27C8" w14:textId="77777777" w:rsidTr="00496298">
        <w:trPr>
          <w:trHeight w:val="40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AB284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- inne papiery wartościowe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F6CC2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C4384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6EE27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0C46FE58" w14:textId="77777777" w:rsidTr="00496298">
        <w:trPr>
          <w:trHeight w:val="40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206CA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- udzielone pożyczki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B32D9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A82E6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CAA1D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6CE3746F" w14:textId="77777777" w:rsidTr="00496298">
        <w:trPr>
          <w:trHeight w:val="40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82759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- inne krótkoterminowe aktywa finansowe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A4FB5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0AC72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45526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4B40EE53" w14:textId="77777777" w:rsidTr="00496298">
        <w:trPr>
          <w:trHeight w:val="40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6BA29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b) w pozostałych jednostkach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0B034" w14:textId="77777777" w:rsidR="00496298" w:rsidRPr="00496298" w:rsidRDefault="00496298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497BA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D966E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4A49F20A" w14:textId="77777777" w:rsidTr="00496298">
        <w:trPr>
          <w:trHeight w:val="40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3C371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- udziały lub akcje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D7EFF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DD847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ED4E3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6F7B78EF" w14:textId="77777777" w:rsidTr="00496298">
        <w:trPr>
          <w:trHeight w:val="40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740ED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- inne papiery wartościowe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28F08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5CB98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06E12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5155405B" w14:textId="77777777" w:rsidTr="00496298">
        <w:trPr>
          <w:trHeight w:val="40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B6534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- udzielone pożyczki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669CF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61605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7A658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0E8755CD" w14:textId="77777777" w:rsidTr="00496298">
        <w:trPr>
          <w:trHeight w:val="40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2BA59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- inne krótkoterminowe aktywa finansowe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3D99F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09B2E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DF547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6432B91E" w14:textId="77777777" w:rsidTr="00496298">
        <w:trPr>
          <w:trHeight w:val="40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34501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c) środki pieniężne i inne aktywa pieniężne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B25A9" w14:textId="60277282" w:rsidR="00496298" w:rsidRPr="00496298" w:rsidRDefault="00575CF4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1 000 0</w:t>
            </w:r>
            <w:r w:rsidR="00496298"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00,00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08641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B5EDB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0A160AC0" w14:textId="77777777" w:rsidTr="00496298">
        <w:trPr>
          <w:trHeight w:val="40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4B1A2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- środki pieniężne w kasie i na rachunkach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F3F63" w14:textId="0B8BCCB0" w:rsidR="00496298" w:rsidRPr="00496298" w:rsidRDefault="00FC05CD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1 000 0</w:t>
            </w:r>
            <w:r w:rsidR="00496298"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00,00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F80E6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0B96A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6114086C" w14:textId="77777777" w:rsidTr="00496298">
        <w:trPr>
          <w:trHeight w:val="40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72951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- inne środki pieniężne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8B96E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E82DD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EF9DB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68EAC038" w14:textId="77777777" w:rsidTr="00496298">
        <w:trPr>
          <w:trHeight w:val="40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3F27F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- inne aktywa pieniężne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AD51E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EB7B8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ABCD2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61212EB9" w14:textId="77777777" w:rsidTr="00496298">
        <w:trPr>
          <w:trHeight w:val="40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D0EF8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2. Inne inwestycje krótkoterminowe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405C8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E7A49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617F0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078A441F" w14:textId="77777777" w:rsidTr="00496298">
        <w:trPr>
          <w:trHeight w:val="40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A558F" w14:textId="060EFB16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IV. Krótkoterminowe </w:t>
            </w:r>
            <w:r w:rsidR="005316DB"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rozliczenia</w:t>
            </w: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międzyokresowe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12D70" w14:textId="4CF2A74C" w:rsidR="00496298" w:rsidRPr="00496298" w:rsidRDefault="00FC05CD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</w:t>
            </w:r>
            <w:r w:rsidR="00496298"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000,00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8D709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E5AB2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586982ED" w14:textId="77777777" w:rsidTr="00496298">
        <w:trPr>
          <w:trHeight w:val="450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40A7D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AKTYWA RAZEM: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34436" w14:textId="65677185" w:rsidR="00496298" w:rsidRPr="00496298" w:rsidRDefault="00FC05CD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5 195 844</w:t>
            </w:r>
            <w:r w:rsidR="00496298" w:rsidRPr="004962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CAD8D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PASYWA  RAZEM: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ABD35" w14:textId="5ED29697" w:rsidR="00496298" w:rsidRPr="00496298" w:rsidRDefault="00FC05CD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5 195 844</w:t>
            </w:r>
            <w:r w:rsidR="00496298" w:rsidRPr="004962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,00</w:t>
            </w:r>
          </w:p>
        </w:tc>
      </w:tr>
    </w:tbl>
    <w:p w14:paraId="60FE0ACE" w14:textId="400BF43A" w:rsidR="00525F36" w:rsidRDefault="00525F36" w:rsidP="00525F36"/>
    <w:p w14:paraId="25A529AB" w14:textId="4C3C3B5E" w:rsidR="00496298" w:rsidRDefault="00496298" w:rsidP="00525F36"/>
    <w:p w14:paraId="3DBE7278" w14:textId="77777777" w:rsidR="00496298" w:rsidRDefault="00496298" w:rsidP="00525F36"/>
    <w:tbl>
      <w:tblPr>
        <w:tblW w:w="94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1120"/>
        <w:gridCol w:w="3500"/>
        <w:gridCol w:w="1220"/>
      </w:tblGrid>
      <w:tr w:rsidR="00496298" w:rsidRPr="00496298" w14:paraId="2BA20F9C" w14:textId="77777777" w:rsidTr="00496298">
        <w:trPr>
          <w:trHeight w:val="735"/>
        </w:trPr>
        <w:tc>
          <w:tcPr>
            <w:tcW w:w="3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0F9E5" w14:textId="3E596003" w:rsidR="00496298" w:rsidRPr="00496298" w:rsidRDefault="00244E6E" w:rsidP="0049629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Wojewódzki Zakład Opieki Zdrowotnej nad Matką, Dzieckiem i Młodzieżą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F844E" w14:textId="77777777" w:rsidR="00496298" w:rsidRPr="00496298" w:rsidRDefault="00496298" w:rsidP="0049629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BILANS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3946E" w14:textId="77777777" w:rsidR="00496298" w:rsidRPr="00496298" w:rsidRDefault="00496298" w:rsidP="0049629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Przeznaczenie formularza</w:t>
            </w:r>
          </w:p>
        </w:tc>
      </w:tr>
      <w:tr w:rsidR="00496298" w:rsidRPr="00496298" w14:paraId="4ABA86F5" w14:textId="77777777" w:rsidTr="00496298">
        <w:trPr>
          <w:trHeight w:val="390"/>
        </w:trPr>
        <w:tc>
          <w:tcPr>
            <w:tcW w:w="3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DB0BD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1E6B3" w14:textId="77777777" w:rsidR="00496298" w:rsidRPr="00496298" w:rsidRDefault="00496298" w:rsidP="0049629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C4907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96298" w:rsidRPr="00496298" w14:paraId="7B820F70" w14:textId="77777777" w:rsidTr="00496298">
        <w:trPr>
          <w:trHeight w:val="735"/>
        </w:trPr>
        <w:tc>
          <w:tcPr>
            <w:tcW w:w="3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830C1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34E75" w14:textId="5D8C2211" w:rsidR="00496298" w:rsidRPr="00496298" w:rsidRDefault="00496298" w:rsidP="0049629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na dzień 31.12.202</w:t>
            </w:r>
            <w:r w:rsidR="00900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r.</w:t>
            </w: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5992C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96298" w:rsidRPr="00496298" w14:paraId="716598C9" w14:textId="77777777" w:rsidTr="00496298">
        <w:trPr>
          <w:trHeight w:val="1080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72F74" w14:textId="77777777" w:rsidR="00496298" w:rsidRPr="00496298" w:rsidRDefault="00496298" w:rsidP="0049629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AKTYWA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4410C" w14:textId="77777777" w:rsidR="00496298" w:rsidRPr="00496298" w:rsidRDefault="00496298" w:rsidP="0049629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Stan na koniec bieżącego roku obrotowego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01CE9" w14:textId="77777777" w:rsidR="00496298" w:rsidRPr="00496298" w:rsidRDefault="00496298" w:rsidP="0049629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PASYWA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1EF49" w14:textId="77777777" w:rsidR="00496298" w:rsidRPr="00496298" w:rsidRDefault="00496298" w:rsidP="0049629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Stan na koniec bieżącego roku obrotowego</w:t>
            </w:r>
          </w:p>
        </w:tc>
      </w:tr>
      <w:tr w:rsidR="00496298" w:rsidRPr="00496298" w14:paraId="0B749217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34BFB" w14:textId="77777777" w:rsidR="00496298" w:rsidRPr="00496298" w:rsidRDefault="00496298" w:rsidP="0049629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6CADA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0F1E7" w14:textId="77777777" w:rsidR="00496298" w:rsidRPr="00496298" w:rsidRDefault="00496298" w:rsidP="0049629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CE330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476FD9FF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5342E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A. AKTYWA TRWAŁE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F888D" w14:textId="1369E4D9" w:rsidR="00496298" w:rsidRPr="00496298" w:rsidRDefault="00900C00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2 867 355</w:t>
            </w:r>
            <w:r w:rsidR="00496298" w:rsidRPr="004962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659C6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A. KAPITAŁ (FUNDUSZ) WŁASNY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EBE85" w14:textId="53610DB2" w:rsidR="00496298" w:rsidRPr="00496298" w:rsidRDefault="00B161DE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  <w:r w:rsidR="00900C0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916 213,76</w:t>
            </w:r>
          </w:p>
        </w:tc>
      </w:tr>
      <w:tr w:rsidR="00496298" w:rsidRPr="00496298" w14:paraId="07B132B7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ADD3C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I. Wartości niematerialne i prawne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61938" w14:textId="4F1D0952" w:rsidR="00496298" w:rsidRPr="00496298" w:rsidRDefault="00900C00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200</w:t>
            </w:r>
            <w:r w:rsidR="00496298"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000,00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24BB0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I. Kapitał (fundusz) podstawowy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E90AE" w14:textId="77777777" w:rsidR="00496298" w:rsidRPr="00496298" w:rsidRDefault="00496298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1 798 276,26</w:t>
            </w:r>
          </w:p>
        </w:tc>
      </w:tr>
      <w:tr w:rsidR="00496298" w:rsidRPr="00496298" w14:paraId="69FCF4F3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33F3E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1. Koszty zakończonych prac rozwojowych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E002C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958E0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II. Należne wpłaty na kapitał podstawowy (wielkość ujemna)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34865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2A52B153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DF934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2. Wartość firmy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DFB15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6417F" w14:textId="7F8148B5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III. Udziały (akcje) własne (</w:t>
            </w:r>
            <w:r w:rsidR="005316DB"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wielkość</w:t>
            </w: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ujemna)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BA26B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4B8697B8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97772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3. Inne wartości niematerialne i prawne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83665" w14:textId="36DB8D4B" w:rsidR="00496298" w:rsidRPr="00496298" w:rsidRDefault="00900C00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200</w:t>
            </w:r>
            <w:r w:rsidR="00496298"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000,00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B7C55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IV. Kapitał (fundusz) zapasowy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DB933" w14:textId="3BBE7F41" w:rsidR="00496298" w:rsidRPr="00496298" w:rsidRDefault="00496298" w:rsidP="0007433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  <w:r w:rsidR="0007433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73 667,50</w:t>
            </w:r>
          </w:p>
        </w:tc>
      </w:tr>
      <w:tr w:rsidR="00496298" w:rsidRPr="00496298" w14:paraId="21469A8E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73E8C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4. Zaliczki na wartości niematerialne i prawne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72606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A919E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V. Kapitał (fundusz) z aktualizacji wyceny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12148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63F1CB20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3F36F" w14:textId="07C31E4A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II.</w:t>
            </w:r>
            <w:r w:rsidR="005316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Rzeczowe aktywa trwałe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EA57E" w14:textId="1C0E2C3E" w:rsidR="00496298" w:rsidRPr="00496298" w:rsidRDefault="00496298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  <w:r w:rsidR="00900C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667 355</w:t>
            </w: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FA725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VI. Pozostałe kapitały (fundusze) rezerwowe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BFE27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3719A826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A63DE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1. Środki trwałe: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612F0" w14:textId="3BD04F5D" w:rsidR="00496298" w:rsidRPr="00496298" w:rsidRDefault="00496298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  <w:r w:rsidR="00900C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667 355</w:t>
            </w: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1727B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VII. Zysk (strata) z lat ubiegłych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1A4BD" w14:textId="691E2ED1" w:rsidR="00496298" w:rsidRPr="00496298" w:rsidRDefault="00496298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96298" w:rsidRPr="00496298" w14:paraId="1DA093D4" w14:textId="77777777" w:rsidTr="00496298">
        <w:trPr>
          <w:trHeight w:val="390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48A34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a) grunty (w tym prawo użytkowania wieczystego gruntu)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6CE5F" w14:textId="77777777" w:rsidR="00496298" w:rsidRPr="00496298" w:rsidRDefault="00496298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164 000,00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7F87E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VIII. Zysk (strata) netto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4B56B" w14:textId="1624BDAD" w:rsidR="00496298" w:rsidRPr="00496298" w:rsidRDefault="0007433D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44 270</w:t>
            </w:r>
            <w:r w:rsidR="00B161D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,00</w:t>
            </w:r>
          </w:p>
        </w:tc>
      </w:tr>
      <w:tr w:rsidR="00496298" w:rsidRPr="00496298" w14:paraId="4A51C455" w14:textId="77777777" w:rsidTr="00496298">
        <w:trPr>
          <w:trHeight w:val="58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3EA35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b) budynki, lokale i obiekty inżynierii lądowej i wodnej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CC3F4" w14:textId="23F0FDDB" w:rsidR="00496298" w:rsidRPr="00496298" w:rsidRDefault="00496298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="0007433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395 355</w:t>
            </w: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6332C" w14:textId="5A75A64E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IX.  Odpisy z zysku netto w ciągu roku obrotowego - </w:t>
            </w:r>
            <w:r w:rsidR="005316DB"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wartość</w:t>
            </w: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ujemna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5D60E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56767D2F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5C446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c) urządzenia techniczne i maszyny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791A4" w14:textId="48E16A51" w:rsidR="00496298" w:rsidRPr="00496298" w:rsidRDefault="00B161DE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="0007433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 050 </w:t>
            </w:r>
            <w:r w:rsidR="00496298"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000,00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AFCBE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B. ZOBOWIĄZANIA I REZERWY NA ZOBOWIĄZANIA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EFFC2" w14:textId="78F9DC70" w:rsidR="00496298" w:rsidRPr="00496298" w:rsidRDefault="00496298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</w:t>
            </w:r>
            <w:r w:rsidR="000743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516 141,24</w:t>
            </w:r>
          </w:p>
        </w:tc>
      </w:tr>
      <w:tr w:rsidR="00496298" w:rsidRPr="00496298" w14:paraId="03C0DFB7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D4766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d) środki transportu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8C6EF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47F1C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I. Rezerwy na zobowiązania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D4F87" w14:textId="70CF42A0" w:rsidR="00496298" w:rsidRPr="00496298" w:rsidRDefault="0007433D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56</w:t>
            </w:r>
            <w:r w:rsidR="00B161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0 000,00</w:t>
            </w:r>
          </w:p>
        </w:tc>
      </w:tr>
      <w:tr w:rsidR="00496298" w:rsidRPr="00496298" w14:paraId="1642158F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311A7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e) inne środki trwałe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8E08D" w14:textId="62B2287A" w:rsidR="00496298" w:rsidRPr="00496298" w:rsidRDefault="0007433D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  <w:r w:rsidR="00B161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  <w:r w:rsidR="00496298"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000,00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B537E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1. Rezerwa z tytułu odroczonego podatku dochodowego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EF38D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1CF78690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1BE4F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2. Środki trwałe w budowie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E8861" w14:textId="77777777" w:rsidR="00496298" w:rsidRPr="00496298" w:rsidRDefault="00496298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2ED79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2. Rezerwa na świadczenia emerytalne i podobne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D02F6" w14:textId="5D03DA33" w:rsidR="00496298" w:rsidRPr="00496298" w:rsidRDefault="0007433D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56</w:t>
            </w:r>
            <w:r w:rsidR="00B161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0 000,00</w:t>
            </w:r>
          </w:p>
        </w:tc>
      </w:tr>
      <w:tr w:rsidR="00496298" w:rsidRPr="00496298" w14:paraId="66712B68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20B11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3. Zaliczki na środki trwałe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F7354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8236D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- długoterminowa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3D221" w14:textId="1260D4C5" w:rsidR="00496298" w:rsidRPr="00496298" w:rsidRDefault="0007433D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240</w:t>
            </w:r>
            <w:r w:rsidR="00B161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000,00</w:t>
            </w:r>
          </w:p>
        </w:tc>
      </w:tr>
      <w:tr w:rsidR="00496298" w:rsidRPr="00496298" w14:paraId="63D8F6B1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B1285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III. Należności długoterminowe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234B6" w14:textId="77777777" w:rsidR="00496298" w:rsidRPr="00496298" w:rsidRDefault="00496298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CED07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- krótkoterminowa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E0740" w14:textId="42FEE926" w:rsidR="00496298" w:rsidRPr="00496298" w:rsidRDefault="00B161DE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320 000,00</w:t>
            </w:r>
          </w:p>
        </w:tc>
      </w:tr>
      <w:tr w:rsidR="00496298" w:rsidRPr="00496298" w14:paraId="783D6908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CD957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1. Od jednostek powiązanych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AADCD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A9173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3. Pozostałe rezerwy -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ACBE8" w14:textId="77777777" w:rsidR="00496298" w:rsidRPr="00496298" w:rsidRDefault="00496298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0,00</w:t>
            </w:r>
          </w:p>
        </w:tc>
      </w:tr>
      <w:tr w:rsidR="00496298" w:rsidRPr="00496298" w14:paraId="636FCD07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34B5E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2. Od pozostałych jednostek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F51E8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5F550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- długoterminowa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0FB92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51DC1753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98033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IV. Inwestycje długoterminowe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80BA2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2F6EF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- krótkoterminowa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7E154" w14:textId="77777777" w:rsidR="00496298" w:rsidRPr="00496298" w:rsidRDefault="00496298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0,00</w:t>
            </w:r>
          </w:p>
        </w:tc>
      </w:tr>
      <w:tr w:rsidR="00496298" w:rsidRPr="00496298" w14:paraId="20E9EFC2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7B3C2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1. Nieruchomości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7BC78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61AC3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II. Zobowiązania długoterminowe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D9C81" w14:textId="77777777" w:rsidR="00496298" w:rsidRPr="00496298" w:rsidRDefault="00496298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0,00</w:t>
            </w:r>
          </w:p>
        </w:tc>
      </w:tr>
      <w:tr w:rsidR="00496298" w:rsidRPr="00496298" w14:paraId="650F0E5A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FB8B9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2. Wartości niematerialne i prawne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E637B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B2A17" w14:textId="57101DDC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1. Wobec jednostek </w:t>
            </w:r>
            <w:r w:rsidR="005316DB"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powiązanych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AAE56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6C0464C2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68F4E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3. Długoterminowe aktywa finansowe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4596F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7D6B5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2. Wobec pozostałych jednostek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4C05B" w14:textId="77777777" w:rsidR="00496298" w:rsidRPr="00496298" w:rsidRDefault="00496298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0,00</w:t>
            </w:r>
          </w:p>
        </w:tc>
      </w:tr>
      <w:tr w:rsidR="00496298" w:rsidRPr="00496298" w14:paraId="310BD9A0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A507F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a) w jednostkach powiązanych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F193D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811CE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a) kredyty i pożyczki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FBABD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40BBEDA3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8975B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- udziały lub akcje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35BCC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55D81" w14:textId="2BB6BE95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b) z tytułu emisji </w:t>
            </w:r>
            <w:r w:rsidR="005316DB"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dłużnych</w:t>
            </w: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papierów wartościowych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0E0C6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2AE3C990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85AAA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- inne papiery wartościowe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AD411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685BD" w14:textId="2CB9562A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c) inne </w:t>
            </w:r>
            <w:r w:rsidR="005316DB"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zobowiązania</w:t>
            </w: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finansowe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57D46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071C732D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858B3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- udzielone pożyczki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FBE7E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BBE2A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d) inne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B3BA9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67756FD2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B4256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- inne długoterminowe aktywa finansowe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CD7E7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379A8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III. Zobowiązania krótkoterminowe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EF97A" w14:textId="50A982FE" w:rsidR="00496298" w:rsidRPr="00496298" w:rsidRDefault="00496298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="0007433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692 000</w:t>
            </w:r>
            <w:r w:rsidR="00145C4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,00</w:t>
            </w:r>
          </w:p>
        </w:tc>
      </w:tr>
      <w:tr w:rsidR="00496298" w:rsidRPr="00496298" w14:paraId="2D61CC3B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FB577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b) w pozostałych jednostkach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15877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BBCF2" w14:textId="651B010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1. Wobec jednostek </w:t>
            </w:r>
            <w:r w:rsidR="005316DB"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powiązanych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C8973" w14:textId="77777777" w:rsidR="00496298" w:rsidRPr="00496298" w:rsidRDefault="00496298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0,00</w:t>
            </w:r>
          </w:p>
        </w:tc>
      </w:tr>
      <w:tr w:rsidR="00496298" w:rsidRPr="00496298" w14:paraId="2631333E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4C9E7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- udziały lub akcje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26DEC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FC9C1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a) z tytułu dostaw i usług, o okresie wymagalności: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BD4D9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35972E77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7A405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- inne papiery wartościowe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C2D22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C389B" w14:textId="128CFDA3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- do 12 </w:t>
            </w:r>
            <w:r w:rsidR="005316DB"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miesięcy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4888C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03B7097F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E4946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- udzielone pożyczki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DC532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2BC93" w14:textId="6410A648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- powyżej 12 </w:t>
            </w:r>
            <w:r w:rsidR="005316DB"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miesięcy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909BB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6069552C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412B1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- inne długoterminowe aktywa finansowe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DD181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B3B40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b) inne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CC39E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451FA614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5627C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4. Inne inwestycje długoterminowe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FFF4C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1CEB1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2. Wobec pozostałych jednostek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32C1A" w14:textId="031E67E8" w:rsidR="00496298" w:rsidRPr="00496298" w:rsidRDefault="00496298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="0007433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677 000</w:t>
            </w:r>
            <w:r w:rsidR="00145C4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,00</w:t>
            </w:r>
          </w:p>
        </w:tc>
      </w:tr>
      <w:tr w:rsidR="00496298" w:rsidRPr="00496298" w14:paraId="74D7FD10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335CA" w14:textId="6EC5BF68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V. Długoterminowe </w:t>
            </w:r>
            <w:r w:rsidR="005316DB"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rozliczenia</w:t>
            </w: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5316DB"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międzyokresowe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36F22" w14:textId="77777777" w:rsidR="00496298" w:rsidRPr="00496298" w:rsidRDefault="00496298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B42A5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a) kredyty i pożyczki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87EDE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689AA271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436AA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1. Aktywa z tytułu odroczonego podatku dochodowego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1E84F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9DC4B" w14:textId="4AC0D199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b) z tytułu emisji </w:t>
            </w:r>
            <w:r w:rsidR="005316DB"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dłużnych</w:t>
            </w: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papierów wartościowych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4E890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26CE7EB8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6C9DB" w14:textId="00516E18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 xml:space="preserve">   2. Inne </w:t>
            </w:r>
            <w:r w:rsidR="005316DB"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rozliczenia</w:t>
            </w: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5316DB"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międzyokresowe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A9341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FDD09" w14:textId="403DB195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c) inne </w:t>
            </w:r>
            <w:r w:rsidR="005316DB"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zobowiązania</w:t>
            </w: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finansowe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F737D" w14:textId="77777777" w:rsidR="00496298" w:rsidRPr="00496298" w:rsidRDefault="00496298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0,00</w:t>
            </w:r>
          </w:p>
        </w:tc>
      </w:tr>
      <w:tr w:rsidR="00496298" w:rsidRPr="00496298" w14:paraId="68076C96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01981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B. AKTYWA OBROTOWE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F60B3" w14:textId="3A384001" w:rsidR="00496298" w:rsidRPr="00496298" w:rsidRDefault="0007433D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2 565 000</w:t>
            </w:r>
            <w:r w:rsidR="00B161D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D9004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d) z tytułu dostaw i usług, o okresie wymagalności: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AACE3" w14:textId="72ABF0BD" w:rsidR="00496298" w:rsidRPr="00496298" w:rsidRDefault="0007433D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60</w:t>
            </w:r>
            <w:r w:rsidR="00145C4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0 000,00</w:t>
            </w:r>
          </w:p>
        </w:tc>
      </w:tr>
      <w:tr w:rsidR="00496298" w:rsidRPr="00496298" w14:paraId="3140E626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D9473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I. Zapasy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4F76F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560AC" w14:textId="37FB6DD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- do 12 </w:t>
            </w:r>
            <w:r w:rsidR="005316DB"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miesięcy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A905C" w14:textId="44A6ECDC" w:rsidR="00496298" w:rsidRPr="00496298" w:rsidRDefault="0007433D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60</w:t>
            </w:r>
            <w:r w:rsidR="00145C4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0 000,00</w:t>
            </w:r>
          </w:p>
        </w:tc>
      </w:tr>
      <w:tr w:rsidR="00496298" w:rsidRPr="00496298" w14:paraId="05C4A169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A19A5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1. Materiały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6A09D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C806C" w14:textId="0FD5B029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- powyżej 12 </w:t>
            </w:r>
            <w:r w:rsidR="005316DB"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miesięcy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7A3D3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3FDDD23E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0DEC2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2. Półprodukty i produkty w toku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E995B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E32F1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e) zaliczki otrzymane na dostawy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51D32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67FE825C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76E83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3. Produkty gotowe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77733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4B0AC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f) zobowiązania wekslowe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AABD3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5052C8C7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BF2EB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4. Towary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2DFA2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A47E1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g) z tytułu podatków, ceł, ubezpieczeń i innych świadczeń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470A9" w14:textId="6070B8B6" w:rsidR="00496298" w:rsidRPr="00496298" w:rsidRDefault="00B161DE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  <w:r w:rsidR="0007433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  <w:r w:rsidR="00496298"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0 000,00</w:t>
            </w:r>
          </w:p>
        </w:tc>
      </w:tr>
      <w:tr w:rsidR="00496298" w:rsidRPr="00496298" w14:paraId="7A457C17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D5BC7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5. Zaliczki na dostawy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6A0D5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4E66B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h) z tytułu wynagrodzeń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864F2" w14:textId="4D1F7B6E" w:rsidR="00496298" w:rsidRPr="00496298" w:rsidRDefault="00B161DE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  <w:r w:rsidR="0007433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95 000</w:t>
            </w:r>
            <w:r w:rsidR="00496298"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,00</w:t>
            </w:r>
          </w:p>
        </w:tc>
      </w:tr>
      <w:tr w:rsidR="00496298" w:rsidRPr="00496298" w14:paraId="687E11C4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678F0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II. Należności krótkoterminowe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A6F52" w14:textId="5968E5DF" w:rsidR="00496298" w:rsidRPr="00496298" w:rsidRDefault="00B161DE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1 </w:t>
            </w:r>
            <w:r w:rsidR="0007433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50 000,00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D785B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i) inne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EED30" w14:textId="772E0FD4" w:rsidR="00496298" w:rsidRPr="00496298" w:rsidRDefault="00496298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="00B161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000,00</w:t>
            </w:r>
          </w:p>
        </w:tc>
      </w:tr>
      <w:tr w:rsidR="00496298" w:rsidRPr="00496298" w14:paraId="115F20D9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C8968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1. Należności od jednostek powiązanych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048A1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F06E7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3. Fundusze specjalne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8B186" w14:textId="77777777" w:rsidR="00496298" w:rsidRPr="00496298" w:rsidRDefault="00496298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15 000,00</w:t>
            </w:r>
          </w:p>
        </w:tc>
      </w:tr>
      <w:tr w:rsidR="00496298" w:rsidRPr="00496298" w14:paraId="6D6CB070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BDD08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a) z tytułu dostaw i usług, o okresie spłaty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B3839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8C503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IV. Rozliczenia międzyokresowe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AE9EC" w14:textId="223B3604" w:rsidR="00496298" w:rsidRPr="00496298" w:rsidRDefault="00496298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="0007433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  <w:r w:rsidR="00B161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  <w:r w:rsidR="0007433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64 141</w:t>
            </w:r>
            <w:r w:rsidR="00145C4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  <w:r w:rsidR="0007433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  <w:r w:rsidR="00145C4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</w:tr>
      <w:tr w:rsidR="00496298" w:rsidRPr="00496298" w14:paraId="3A54E74C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9B13E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- do 12 miesięcy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1A1C4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7BAFD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1. Ujemna wartość firmy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D4D23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523A163B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A0F32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- powyżej 12 miesięcy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5E108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6D103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2. Inne rozliczenia międzyokresowe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D4984" w14:textId="32634EA4" w:rsidR="00496298" w:rsidRPr="00496298" w:rsidRDefault="00496298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="0007433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264 141,2</w:t>
            </w:r>
            <w:r w:rsidR="00145C4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</w:tr>
      <w:tr w:rsidR="00496298" w:rsidRPr="00496298" w14:paraId="1A61309E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3C800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b) inne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C776D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E58C2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- długoterminowe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FBAE2" w14:textId="1C6361CF" w:rsidR="00496298" w:rsidRPr="00496298" w:rsidRDefault="0007433D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790 241</w:t>
            </w:r>
            <w:r w:rsidR="00496298"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,00</w:t>
            </w:r>
          </w:p>
        </w:tc>
      </w:tr>
      <w:tr w:rsidR="00496298" w:rsidRPr="00496298" w14:paraId="17840EBE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2DFF0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2. Należności od pozostałych jednostek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5B90E" w14:textId="5CA88E04" w:rsidR="00496298" w:rsidRPr="00496298" w:rsidRDefault="00B161DE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1 </w:t>
            </w:r>
            <w:r w:rsidR="0007433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50 000,00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910C6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- krótkoterminowe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548BB" w14:textId="2FCAC688" w:rsidR="00496298" w:rsidRPr="00496298" w:rsidRDefault="0007433D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  <w:r w:rsidR="00B161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73 900</w:t>
            </w:r>
            <w:r w:rsidR="00145C4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  <w:r w:rsidR="00145C4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</w:tr>
      <w:tr w:rsidR="00496298" w:rsidRPr="00496298" w14:paraId="7406E912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65C93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a) z tytułu dostaw i usług, o okresie spłaty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A4D2C" w14:textId="129EC3E2" w:rsidR="00496298" w:rsidRPr="00496298" w:rsidRDefault="00B161DE" w:rsidP="00B161D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1 </w:t>
            </w:r>
            <w:r w:rsidR="0007433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50 000,00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F3553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D8EAA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02CD0F83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84529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- do 12 miesięcy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205D8" w14:textId="3A08DB35" w:rsidR="00496298" w:rsidRPr="00496298" w:rsidRDefault="00B161DE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1 </w:t>
            </w:r>
            <w:r w:rsidR="0007433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50 000,00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7020B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619EB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5973C8C7" w14:textId="77777777" w:rsidTr="00496298">
        <w:trPr>
          <w:trHeight w:val="600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8BE7A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- powyżej 12 miesięcy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01668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85438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3CA47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26233F85" w14:textId="77777777" w:rsidTr="00496298">
        <w:trPr>
          <w:trHeight w:val="630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A62F8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b) z tytułu podatków, dotacji, ceł, ubezpieczeń                   .      społecznych i zdrowotnych oraz innych świadczeń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3946B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19BEC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77869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6C73BF68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88FF5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c) inne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77E26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F50F8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219C7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2F9306D6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2EA00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d) dochodzone na drodze sądowej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7C729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03C78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CB9DB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4560AE70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A1862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III. Inwestycje krótkoterminowe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63CE0" w14:textId="7DF292B5" w:rsidR="00496298" w:rsidRPr="00496298" w:rsidRDefault="0007433D" w:rsidP="0007433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1 100</w:t>
            </w:r>
            <w:r w:rsidR="00496298"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000,00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A059C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62045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7F5782E5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0E172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1. Krótkoterminowe aktywa finansowe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59554" w14:textId="0AADAC1F" w:rsidR="00496298" w:rsidRPr="00496298" w:rsidRDefault="0007433D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1 100</w:t>
            </w:r>
            <w:r w:rsidR="00496298"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000,00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E72DB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9365E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7820267A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587B9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a) w jednostkach powiązanych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499DA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F0B46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0566B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66E263E1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10DD6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- udziały lub akcje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C736F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50EA3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F6E98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566E50CB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EA474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- inne papiery wartościowe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7B754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0EC67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A11EB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7F80DD29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E4F4A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- udzielone pożyczki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4B807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4BED6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9C67F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267F3E8F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164CF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- inne krótkoterminowe aktywa finansowe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516DD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B08EE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27AD5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2C687D62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FAD1E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b) w pozostałych jednostkach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14870" w14:textId="77777777" w:rsidR="00496298" w:rsidRPr="00496298" w:rsidRDefault="00496298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4EA4B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D37F6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108F9B09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EE81A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- udziały lub akcje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AFC92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83FAF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003D4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2112FE4A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B5287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- inne papiery wartościowe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9EFF8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7B85C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89542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1092C6F6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21347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- udzielone pożyczki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A860C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572EC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6853F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205E6517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7959E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- inne krótkoterminowe aktywa finansowe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3CED3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25B3B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2B389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14D714D4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8E06C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 xml:space="preserve">       c) środki pieniężne i inne aktywa pieniężne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66A7F" w14:textId="392F10EC" w:rsidR="00496298" w:rsidRPr="00496298" w:rsidRDefault="0007433D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1 100</w:t>
            </w:r>
            <w:r w:rsidR="00496298"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000,00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06D1E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6EFB7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2EDAEF89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6B839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- środki pieniężne w kasie i na rachunkach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626D2" w14:textId="60114C89" w:rsidR="00496298" w:rsidRPr="00496298" w:rsidRDefault="0007433D" w:rsidP="0007433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1 100</w:t>
            </w:r>
            <w:r w:rsidR="00496298"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000,00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BFE09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D7E81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0C8CA71B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417FD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- inne środki pieniężne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907C0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B0521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07532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0B022E95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3632C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- inne aktywa pieniężne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03BFB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9D5B9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911F2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25A30AC0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1D069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2. Inne inwestycje krótkoterminowe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53485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CAD35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D8A65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0D0C8381" w14:textId="77777777" w:rsidTr="0049629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03B38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IV. Krótkoterminowe </w:t>
            </w:r>
            <w:proofErr w:type="spellStart"/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rozlicznia</w:t>
            </w:r>
            <w:proofErr w:type="spellEnd"/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międzyokresowe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CBA86" w14:textId="12B206E7" w:rsidR="00496298" w:rsidRPr="00496298" w:rsidRDefault="0007433D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="00B161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  <w:r w:rsidR="00496298"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000,00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C5ECE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DBA2E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60058328" w14:textId="77777777" w:rsidTr="0049629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DAB07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AKTYWA RAZEM: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70A1A" w14:textId="7A9AB610" w:rsidR="00496298" w:rsidRPr="00496298" w:rsidRDefault="0007433D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5 432 355</w:t>
            </w:r>
            <w:r w:rsidR="00B161D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B6A20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PASYWA  RAZEM: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33001" w14:textId="3B958ABB" w:rsidR="00496298" w:rsidRPr="00496298" w:rsidRDefault="0007433D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5 432 355</w:t>
            </w:r>
            <w:r w:rsidR="00B161D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,00</w:t>
            </w:r>
          </w:p>
        </w:tc>
      </w:tr>
    </w:tbl>
    <w:p w14:paraId="0172D0F5" w14:textId="71B0250A" w:rsidR="00496298" w:rsidRDefault="00496298" w:rsidP="00525F36"/>
    <w:tbl>
      <w:tblPr>
        <w:tblW w:w="102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0"/>
        <w:gridCol w:w="1160"/>
        <w:gridCol w:w="4040"/>
        <w:gridCol w:w="1190"/>
      </w:tblGrid>
      <w:tr w:rsidR="00496298" w:rsidRPr="00496298" w14:paraId="1ADC4C36" w14:textId="77777777" w:rsidTr="00496298">
        <w:trPr>
          <w:trHeight w:val="735"/>
        </w:trPr>
        <w:tc>
          <w:tcPr>
            <w:tcW w:w="3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407DC" w14:textId="76CCC9FA" w:rsidR="00496298" w:rsidRPr="00496298" w:rsidRDefault="00244E6E" w:rsidP="0049629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Wojewódzki Zakład Opieki Zdrowotnej nad Matką, Dzieckiem i Młodzieżą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E53B2" w14:textId="77777777" w:rsidR="00496298" w:rsidRPr="00496298" w:rsidRDefault="00496298" w:rsidP="0049629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BILANS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DA62A" w14:textId="77777777" w:rsidR="00496298" w:rsidRPr="00496298" w:rsidRDefault="00496298" w:rsidP="0049629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Przeznaczenie formularza</w:t>
            </w:r>
          </w:p>
        </w:tc>
      </w:tr>
      <w:tr w:rsidR="00496298" w:rsidRPr="00496298" w14:paraId="1828B4AD" w14:textId="77777777" w:rsidTr="00496298">
        <w:trPr>
          <w:trHeight w:val="39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47AE1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AB33F" w14:textId="77777777" w:rsidR="00496298" w:rsidRPr="00496298" w:rsidRDefault="00496298" w:rsidP="0049629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B69DA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96298" w:rsidRPr="00496298" w14:paraId="041485A6" w14:textId="77777777" w:rsidTr="00496298">
        <w:trPr>
          <w:trHeight w:val="735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81AA6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34F4A" w14:textId="2DF2E3A9" w:rsidR="00496298" w:rsidRPr="00496298" w:rsidRDefault="00496298" w:rsidP="0049629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na dzień 31.12.202</w:t>
            </w:r>
            <w:r w:rsidR="00E35C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r.</w:t>
            </w: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57C75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96298" w:rsidRPr="00496298" w14:paraId="715A0486" w14:textId="77777777" w:rsidTr="00496298">
        <w:trPr>
          <w:trHeight w:val="108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7EF6C" w14:textId="77777777" w:rsidR="00496298" w:rsidRPr="00496298" w:rsidRDefault="00496298" w:rsidP="0049629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AKTYWA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8CBF7" w14:textId="77777777" w:rsidR="00496298" w:rsidRPr="00496298" w:rsidRDefault="00496298" w:rsidP="0049629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Stan na koniec bieżącego roku obrotowego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59260" w14:textId="77777777" w:rsidR="00496298" w:rsidRPr="00496298" w:rsidRDefault="00496298" w:rsidP="0049629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PASYWA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D704C" w14:textId="77777777" w:rsidR="00496298" w:rsidRPr="00496298" w:rsidRDefault="00496298" w:rsidP="0049629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Stan na koniec bieżącego roku obrotowego</w:t>
            </w:r>
          </w:p>
        </w:tc>
      </w:tr>
      <w:tr w:rsidR="00496298" w:rsidRPr="00496298" w14:paraId="141CE33A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C7EB2" w14:textId="77777777" w:rsidR="00496298" w:rsidRPr="00496298" w:rsidRDefault="00496298" w:rsidP="0049629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52970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37F0F" w14:textId="77777777" w:rsidR="00496298" w:rsidRPr="00496298" w:rsidRDefault="00496298" w:rsidP="0049629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E4653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4E31A02B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5F253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A. AKTYWA TRWAŁE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E3438" w14:textId="06D49A43" w:rsidR="00496298" w:rsidRPr="00496298" w:rsidRDefault="00E35CD4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2 873 714</w:t>
            </w:r>
            <w:r w:rsidR="00496298" w:rsidRPr="004962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6088F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A. KAPITAŁ (FUNDUSZ) WŁASNY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322F9" w14:textId="1F8B36FA" w:rsidR="00496298" w:rsidRPr="00496298" w:rsidRDefault="00357F9E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  <w:r w:rsidR="00E35C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973 713,76</w:t>
            </w:r>
          </w:p>
        </w:tc>
      </w:tr>
      <w:tr w:rsidR="00496298" w:rsidRPr="00496298" w14:paraId="0A9C78A3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A792C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I. Wartości niematerialne i prawne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767E0" w14:textId="524B829B" w:rsidR="00496298" w:rsidRPr="00496298" w:rsidRDefault="00496298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  <w:r w:rsidR="00357F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</w:t>
            </w: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0 000,00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8BC83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I. Kapitał (fundusz) podstawowy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4DA03" w14:textId="77777777" w:rsidR="00496298" w:rsidRPr="00496298" w:rsidRDefault="00496298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1 798 276,26</w:t>
            </w:r>
          </w:p>
        </w:tc>
      </w:tr>
      <w:tr w:rsidR="00496298" w:rsidRPr="00496298" w14:paraId="0FAA4B47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CCCFF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1. Koszty zakończonych prac rozwojowych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12CEC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55536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II. Należne wpłaty na kapitał podstawowy (wielkość ujemna)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30602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2E2C52D8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6A063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2. Wartość firmy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3B547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E514B" w14:textId="41051BCD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III. Udziały (akcje) własne (</w:t>
            </w:r>
            <w:r w:rsidR="005316DB"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wielkość</w:t>
            </w: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ujemna)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15E53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57FE808C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30740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3. Inne wartości niematerialne i prawne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A19D6" w14:textId="2D68ADF8" w:rsidR="00496298" w:rsidRPr="00496298" w:rsidRDefault="00496298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  <w:r w:rsidR="00357F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</w:t>
            </w: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0 000,00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DFCB0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IV. Kapitał (fundusz) zapasowy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3AC86" w14:textId="309F4AB4" w:rsidR="00496298" w:rsidRPr="00496298" w:rsidRDefault="00496298" w:rsidP="00E35CD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  <w:r w:rsidR="00E35CD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117937,50</w:t>
            </w:r>
          </w:p>
        </w:tc>
      </w:tr>
      <w:tr w:rsidR="00496298" w:rsidRPr="00496298" w14:paraId="0198CBDF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65C0A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4. Zaliczki na wartości niematerialne i prawne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5DC06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6BDB4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V. Kapitał (fundusz) z aktualizacji wyceny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86F0A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5E50F6D5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1D997" w14:textId="7C086428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II.</w:t>
            </w:r>
            <w:r w:rsidR="005316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Rzeczowe aktywa trwałe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55CCF" w14:textId="27B6CFCB" w:rsidR="00496298" w:rsidRPr="00496298" w:rsidRDefault="00496298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  <w:r w:rsidR="00E35CD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673 714</w:t>
            </w: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6462B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VI. Pozostałe kapitały (fundusze) rezerwowe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EB8B6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23F46319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A259D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1. Środki trwałe: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1E8E0" w14:textId="1F7A8A60" w:rsidR="00496298" w:rsidRPr="00496298" w:rsidRDefault="00496298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  <w:r w:rsidR="00E35CD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673 714</w:t>
            </w: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FC859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VII. Zysk (strata) z lat ubiegłych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5B242" w14:textId="3AC8DDE0" w:rsidR="00496298" w:rsidRPr="00496298" w:rsidRDefault="00496298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96298" w:rsidRPr="00496298" w14:paraId="4F4DEA2B" w14:textId="77777777" w:rsidTr="00496298">
        <w:trPr>
          <w:trHeight w:val="39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A76BE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a) grunty (w tym prawo użytkowania wieczystego gruntu)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A4DDC" w14:textId="77777777" w:rsidR="00496298" w:rsidRPr="00496298" w:rsidRDefault="00496298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164 000,00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9CE10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VIII. Zysk (strata) netto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2E6D3" w14:textId="37EB62D0" w:rsidR="00496298" w:rsidRPr="00496298" w:rsidRDefault="00E35CD4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57 500</w:t>
            </w:r>
            <w:r w:rsidR="00496298" w:rsidRPr="004962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,00</w:t>
            </w:r>
          </w:p>
        </w:tc>
      </w:tr>
      <w:tr w:rsidR="00496298" w:rsidRPr="00496298" w14:paraId="04481EEA" w14:textId="77777777" w:rsidTr="00496298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D5254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b) budynki, lokale i obiekty inżynierii lądowej i wodnej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C5122" w14:textId="7AB69B4B" w:rsidR="00496298" w:rsidRPr="00496298" w:rsidRDefault="00496298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="00E35CD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286 355</w:t>
            </w: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15F7E" w14:textId="40A189DE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IX.  Odpisy z zysku netto w ciągu roku obrotowego - </w:t>
            </w:r>
            <w:r w:rsidR="005316DB"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wartość</w:t>
            </w: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ujemna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92BF4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49DBCF31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6A05E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c) urządzenia techniczne i maszyny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31A2E" w14:textId="55237CFD" w:rsidR="00496298" w:rsidRPr="00496298" w:rsidRDefault="004E5722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="00E35CD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185 359</w:t>
            </w:r>
            <w:r w:rsidR="00496298"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01CFE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B. ZOBOWIĄZANIA I REZERWY NA ZOBOWIĄZANIA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524A5" w14:textId="581FE211" w:rsidR="00496298" w:rsidRPr="00496298" w:rsidRDefault="00496298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</w:t>
            </w:r>
            <w:r w:rsidR="00E35C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  <w:r w:rsidR="00357F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</w:t>
            </w:r>
            <w:r w:rsidR="00E35C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15 000,2</w:t>
            </w:r>
            <w:r w:rsidR="00357F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</w:tr>
      <w:tr w:rsidR="00496298" w:rsidRPr="00496298" w14:paraId="279B7952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87161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d) środki transportu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26344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6F70D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I. Rezerwy na zobowiązania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09547" w14:textId="33D9FA5B" w:rsidR="00496298" w:rsidRPr="00496298" w:rsidRDefault="00E35CD4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700</w:t>
            </w:r>
            <w:r w:rsidR="00496298"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000,00</w:t>
            </w:r>
          </w:p>
        </w:tc>
      </w:tr>
      <w:tr w:rsidR="00496298" w:rsidRPr="00496298" w14:paraId="6E1AA192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9FEEE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e) inne środki trwałe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5B685" w14:textId="1473703F" w:rsidR="00496298" w:rsidRPr="00496298" w:rsidRDefault="00E35CD4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  <w:r w:rsidR="00357F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  <w:r w:rsidR="00496298"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000,00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7DFCA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1. Rezerwa z tytułu odroczonego podatku dochodowego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10933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12A44C6E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55926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2. Środki trwałe w budowie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9CB10" w14:textId="77777777" w:rsidR="00496298" w:rsidRPr="00496298" w:rsidRDefault="00496298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010DD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2. Rezerwa na świadczenia emerytalne i podobne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39EE9" w14:textId="3E6C0280" w:rsidR="00496298" w:rsidRPr="00496298" w:rsidRDefault="00E35CD4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650</w:t>
            </w:r>
            <w:r w:rsidR="00496298"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000,00</w:t>
            </w:r>
          </w:p>
        </w:tc>
      </w:tr>
      <w:tr w:rsidR="00496298" w:rsidRPr="00496298" w14:paraId="27C99E4B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4CE22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3. Zaliczki na środki trwałe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4D4B4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0DBE1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- długoterminowa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FFC29" w14:textId="002A7160" w:rsidR="00496298" w:rsidRPr="00496298" w:rsidRDefault="00E35CD4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370</w:t>
            </w:r>
            <w:r w:rsidR="00496298"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000,00</w:t>
            </w:r>
          </w:p>
        </w:tc>
      </w:tr>
      <w:tr w:rsidR="00496298" w:rsidRPr="00496298" w14:paraId="696D5F48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A5E36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III. Należności długoterminowe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D3BF1" w14:textId="77777777" w:rsidR="00496298" w:rsidRPr="00496298" w:rsidRDefault="00496298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19659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- krótkoterminowa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1894E" w14:textId="3DC17335" w:rsidR="00496298" w:rsidRPr="00496298" w:rsidRDefault="00496298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  <w:r w:rsidR="00E35CD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  <w:r w:rsidR="00357F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</w:t>
            </w: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000,00</w:t>
            </w:r>
          </w:p>
        </w:tc>
      </w:tr>
      <w:tr w:rsidR="00496298" w:rsidRPr="00496298" w14:paraId="492B7EB3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D4737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1. Od jednostek powiązanych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1DEB2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94B12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3. Pozostałe rezerwy -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1EDC4" w14:textId="7EDBC177" w:rsidR="00496298" w:rsidRPr="00496298" w:rsidRDefault="00E35CD4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50 000</w:t>
            </w:r>
            <w:r w:rsidR="00496298"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,00</w:t>
            </w:r>
          </w:p>
        </w:tc>
      </w:tr>
      <w:tr w:rsidR="00496298" w:rsidRPr="00496298" w14:paraId="0DE878AC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874AB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2. Od pozostałych jednostek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07D37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0908E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- długoterminowa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66EE2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744C26A3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A042D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IV. Inwestycje długoterminowe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EF3D6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D2923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- krótkoterminowa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02018" w14:textId="192CA0E4" w:rsidR="00496298" w:rsidRPr="00496298" w:rsidRDefault="00E35CD4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50 000</w:t>
            </w:r>
            <w:r w:rsidR="00496298"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,00</w:t>
            </w:r>
          </w:p>
        </w:tc>
      </w:tr>
      <w:tr w:rsidR="00496298" w:rsidRPr="00496298" w14:paraId="269759F7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3270A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1. Nieruchomości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D6CCB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3907E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II. Zobowiązania długoterminowe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B2F6E" w14:textId="77777777" w:rsidR="00496298" w:rsidRPr="00496298" w:rsidRDefault="00496298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0,00</w:t>
            </w:r>
          </w:p>
        </w:tc>
      </w:tr>
      <w:tr w:rsidR="00496298" w:rsidRPr="00496298" w14:paraId="11BCC751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32BC1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2. Wartości niematerialne i prawne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2487B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36775" w14:textId="0C287A42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1. Wobec jednostek </w:t>
            </w:r>
            <w:r w:rsidR="005316DB"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powiązanych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4C600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5C3BE692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735B0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3. Długoterminowe aktywa finansowe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34A72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BE961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2. Wobec pozostałych jednostek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512B7" w14:textId="77777777" w:rsidR="00496298" w:rsidRPr="00496298" w:rsidRDefault="00496298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0,00</w:t>
            </w:r>
          </w:p>
        </w:tc>
      </w:tr>
      <w:tr w:rsidR="00496298" w:rsidRPr="00496298" w14:paraId="17CF7459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9650E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a) w jednostkach powiązanych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680C8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7696D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a) kredyty i pożyczki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447B4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5092ACED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F3767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- udziały lub akcje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D1F51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74967" w14:textId="3F942474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b) z tytułu emisji </w:t>
            </w:r>
            <w:r w:rsidR="005316DB"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dłużnych</w:t>
            </w: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papierów wartościowych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7F29A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3AE5D79A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0D5AB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- inne papiery wartościowe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1C53C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8468C" w14:textId="15DA389F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c) inne </w:t>
            </w:r>
            <w:r w:rsidR="005316DB"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zobowiązania</w:t>
            </w: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finansowe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721BA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034EB7EB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D1287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- udzielone pożyczki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C87E2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59D79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d) inne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729E2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08589022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26CBD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- inne długoterminowe aktywa finansowe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27B9B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CDE46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III. Zobowiązania krótkoterminowe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7EBA8" w14:textId="4C77E37E" w:rsidR="00496298" w:rsidRPr="00496298" w:rsidRDefault="00496298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="00E35CD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695 000</w:t>
            </w: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,00</w:t>
            </w:r>
          </w:p>
        </w:tc>
      </w:tr>
      <w:tr w:rsidR="00496298" w:rsidRPr="00496298" w14:paraId="668326ED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E24D2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b) w pozostałych jednostkach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7562A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18D35" w14:textId="6E77BFD0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1. Wobec jednostek </w:t>
            </w:r>
            <w:r w:rsidR="005316DB"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powiązanych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2FF26" w14:textId="77777777" w:rsidR="00496298" w:rsidRPr="00496298" w:rsidRDefault="00496298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0,00</w:t>
            </w:r>
          </w:p>
        </w:tc>
      </w:tr>
      <w:tr w:rsidR="00496298" w:rsidRPr="00496298" w14:paraId="13106466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92EEF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- udziały lub akcje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A62AF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8C7F0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a) z tytułu dostaw i usług, o okresie wymagalności: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B1F67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3B4DA5C5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85672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- inne papiery wartościowe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958DC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2DD17" w14:textId="2C6954EB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- do 12 </w:t>
            </w:r>
            <w:r w:rsidR="005316DB"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miesięcy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8AE25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33BB04EF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D58CD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- udzielone pożyczki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468F8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BCA49" w14:textId="6A77D06C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- powyżej 12 </w:t>
            </w:r>
            <w:r w:rsidR="005316DB"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miesięcy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C2458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188DCCB5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90ACF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- inne długoterminowe aktywa finansowe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073B3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38554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b) inne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E9F31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06FE93B4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2EE2F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4. Inne inwestycje długoterminowe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83DEB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C26BB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2. Wobec pozostałych jednostek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69CEA" w14:textId="5744105B" w:rsidR="00496298" w:rsidRPr="00496298" w:rsidRDefault="00496298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="00E35CD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675 000</w:t>
            </w: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,00</w:t>
            </w:r>
          </w:p>
        </w:tc>
      </w:tr>
      <w:tr w:rsidR="00496298" w:rsidRPr="00496298" w14:paraId="7BD54796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519EF" w14:textId="11A10B4E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V. Długoterminowe </w:t>
            </w:r>
            <w:r w:rsidR="005316DB"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rozliczenia</w:t>
            </w: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5316DB"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międzyokresowe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0D2D7" w14:textId="77777777" w:rsidR="00496298" w:rsidRPr="00496298" w:rsidRDefault="00496298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58D65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a) kredyty i pożyczki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E4F4E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6F1B47DC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8470B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1. Aktywa z tytułu odroczonego podatku dochodowego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A4D15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C0189" w14:textId="067AF282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b) z tytułu emisji </w:t>
            </w:r>
            <w:r w:rsidR="005316DB"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dłużnych</w:t>
            </w: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papierów wartościowych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3B59F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6E55E25F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0BE7C" w14:textId="6CFDDA6C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2. Inne </w:t>
            </w:r>
            <w:r w:rsidR="005316DB"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rozliczenia</w:t>
            </w: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5316DB"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międzyokresowe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847EE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C47BC" w14:textId="6A2257D1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c) inne </w:t>
            </w:r>
            <w:r w:rsidR="005316DB"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zobowiązania</w:t>
            </w: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finansowe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8BBB5" w14:textId="77777777" w:rsidR="00496298" w:rsidRPr="00496298" w:rsidRDefault="00496298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0,00</w:t>
            </w:r>
          </w:p>
        </w:tc>
      </w:tr>
      <w:tr w:rsidR="00496298" w:rsidRPr="00496298" w14:paraId="416EF295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A4B9F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B. AKTYWA OBROTOWE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40F5F" w14:textId="331BC3C4" w:rsidR="00496298" w:rsidRPr="00496298" w:rsidRDefault="00E35CD4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2 615 000,00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E65AF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d) z tytułu dostaw i usług, o okresie wymagalności: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FD0EE" w14:textId="4B63AEE5" w:rsidR="00496298" w:rsidRPr="00496298" w:rsidRDefault="00E35CD4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509 000</w:t>
            </w:r>
            <w:r w:rsidR="00496298"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,00</w:t>
            </w:r>
          </w:p>
        </w:tc>
      </w:tr>
      <w:tr w:rsidR="00496298" w:rsidRPr="00496298" w14:paraId="19AEB078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D19D7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I. Zapasy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53389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6CDDB" w14:textId="2640FFE5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- do 12 </w:t>
            </w:r>
            <w:r w:rsidR="005316DB"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miesięcy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44882" w14:textId="7BF1BBBF" w:rsidR="00496298" w:rsidRPr="00496298" w:rsidRDefault="00E35CD4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509 000</w:t>
            </w:r>
            <w:r w:rsidR="00496298"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,00</w:t>
            </w:r>
          </w:p>
        </w:tc>
      </w:tr>
      <w:tr w:rsidR="00496298" w:rsidRPr="00496298" w14:paraId="22F73ACE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4AE34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1. Materiały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BED16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349EC" w14:textId="3FFDD02D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- powyżej 12 </w:t>
            </w:r>
            <w:r w:rsidR="005316DB"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miesięcy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7AFFC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1B4604D7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7A5AA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2. Półprodukty i produkty w toku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B2068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711B7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e) zaliczki otrzymane na dostawy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FA050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10C1C976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47588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3. Produkty gotowe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DE2E9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6CBD4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f) zobowiązania wekslowe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64CEC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07B65383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A7188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4. Towary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25B0E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BEA40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g) z tytułu podatków, ceł, ubezpieczeń i innych świadczeń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65BA3" w14:textId="74CDDBFB" w:rsidR="00496298" w:rsidRPr="00496298" w:rsidRDefault="00E35CD4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  <w:r w:rsidR="00357F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00</w:t>
            </w:r>
            <w:r w:rsidR="00496298"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000,00</w:t>
            </w:r>
          </w:p>
        </w:tc>
      </w:tr>
      <w:tr w:rsidR="00496298" w:rsidRPr="00496298" w14:paraId="44916F0A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E6D27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5. Zaliczki na dostawy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E6395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F330F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h) z tytułu wynagrodzeń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67775" w14:textId="511AAD12" w:rsidR="00496298" w:rsidRPr="00496298" w:rsidRDefault="00E35CD4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550</w:t>
            </w:r>
            <w:r w:rsidR="00496298"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000,00</w:t>
            </w:r>
          </w:p>
        </w:tc>
      </w:tr>
      <w:tr w:rsidR="00496298" w:rsidRPr="00496298" w14:paraId="43E5E239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D9A91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II. Należności krótkoterminowe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F7CED" w14:textId="507C634D" w:rsidR="00496298" w:rsidRPr="00496298" w:rsidRDefault="00357F9E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1 3</w:t>
            </w:r>
            <w:r w:rsidR="00E35CD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  <w:r w:rsidR="00496298"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0 000,00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8582E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i) inne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BAC82" w14:textId="330896D5" w:rsidR="00496298" w:rsidRPr="00496298" w:rsidRDefault="00496298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="00E35CD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000,00</w:t>
            </w:r>
          </w:p>
        </w:tc>
      </w:tr>
      <w:tr w:rsidR="00496298" w:rsidRPr="00496298" w14:paraId="2CAED752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48D3B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1. Należności od jednostek powiązanych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AF92F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6575E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3. Fundusze specjalne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27C14" w14:textId="73108580" w:rsidR="00496298" w:rsidRPr="00496298" w:rsidRDefault="00E35CD4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</w:t>
            </w:r>
            <w:r w:rsidR="00496298"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000,00</w:t>
            </w:r>
          </w:p>
        </w:tc>
      </w:tr>
      <w:tr w:rsidR="00496298" w:rsidRPr="00496298" w14:paraId="355FCC37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72647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a) z tytułu dostaw i usług, o okresie spłaty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44231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C27D2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IV. Rozliczenia międzyokresowe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06AD8" w14:textId="0443EE1B" w:rsidR="00496298" w:rsidRPr="00496298" w:rsidRDefault="00496298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="00E35CD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120 000</w:t>
            </w:r>
            <w:r w:rsidR="00357F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  <w:r w:rsidR="00E35CD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  <w:r w:rsidR="00357F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</w:tr>
      <w:tr w:rsidR="00496298" w:rsidRPr="00496298" w14:paraId="69399984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A3B9D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- do 12 miesięcy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DC382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24B62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1. Ujemna wartość firmy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2E3CA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174F63BC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354B0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- powyżej 12 miesięcy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4C7D2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27BA2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2. Inne rozliczenia międzyokresowe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DE679" w14:textId="7C457888" w:rsidR="00496298" w:rsidRPr="00496298" w:rsidRDefault="00496298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="00E35CD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120 000</w:t>
            </w:r>
            <w:r w:rsidR="00357F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,34</w:t>
            </w:r>
          </w:p>
        </w:tc>
      </w:tr>
      <w:tr w:rsidR="00496298" w:rsidRPr="00496298" w14:paraId="24EB9265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1EA7A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b) inne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D3997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72595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- długoterminowe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982CC" w14:textId="4D74B6F0" w:rsidR="00496298" w:rsidRPr="00496298" w:rsidRDefault="000A146F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  <w:r w:rsidR="00E35CD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</w:t>
            </w:r>
            <w:r w:rsidR="00357F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000,00</w:t>
            </w:r>
          </w:p>
        </w:tc>
      </w:tr>
      <w:tr w:rsidR="00496298" w:rsidRPr="00496298" w14:paraId="474DB455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BEEB3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2. Należności od pozostałych jednostek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14A34" w14:textId="785A8E20" w:rsidR="00496298" w:rsidRPr="00496298" w:rsidRDefault="00357F9E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1 3</w:t>
            </w:r>
            <w:r w:rsidR="00E35CD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  <w:r w:rsidR="00496298"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0 000,00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88C6C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- krótkoterminowe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FFBDA" w14:textId="7E2F8303" w:rsidR="00496298" w:rsidRPr="00496298" w:rsidRDefault="00E35CD4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350 000</w:t>
            </w:r>
            <w:r w:rsidR="00357F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  <w:r w:rsidR="00357F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</w:tr>
      <w:tr w:rsidR="00496298" w:rsidRPr="00496298" w14:paraId="393948F7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C0E6D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a) z tytułu dostaw i usług, o okresie spłaty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23480" w14:textId="5DC3B5A5" w:rsidR="00496298" w:rsidRPr="00496298" w:rsidRDefault="00357F9E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1 3</w:t>
            </w:r>
            <w:r w:rsidR="00E35CD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  <w:r w:rsidR="00496298"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0 000,00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50896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74686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4E8C118D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0EDBE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- do 12 miesięcy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D6CD6" w14:textId="33BC1982" w:rsidR="00496298" w:rsidRPr="00496298" w:rsidRDefault="00357F9E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1 3</w:t>
            </w:r>
            <w:r w:rsidR="00E35CD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  <w:r w:rsidR="00496298"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0 000,00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52D46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6C6F8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593B9527" w14:textId="77777777" w:rsidTr="00496298">
        <w:trPr>
          <w:trHeight w:val="60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A38FE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 xml:space="preserve">           - powyżej 12 miesięcy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96242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B4CBA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B51BE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2C1DA7AD" w14:textId="77777777" w:rsidTr="00496298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5DCAC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b) z tytułu podatków, dotacji, ceł, ubezpieczeń                   .      społecznych i zdrowotnych oraz innych świadczeń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F94B6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90F56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E54F2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4151164A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65092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c) inne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DB7C5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FEC64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C7A6A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2FC54D7C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0F04B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d) dochodzone na drodze sądowej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F5E2B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C40D5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00179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769B82FD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A4F4F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III. Inwestycje krótkoterminowe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16B8E" w14:textId="3620F2BF" w:rsidR="00496298" w:rsidRPr="00496298" w:rsidRDefault="00E35CD4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1 210</w:t>
            </w:r>
            <w:r w:rsidR="00357F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000,00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808F8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CD887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3C533ABA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D1CD8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1. Krótkoterminowe aktywa finansowe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86AE6" w14:textId="02E02218" w:rsidR="00496298" w:rsidRPr="00496298" w:rsidRDefault="00E35CD4" w:rsidP="00357F9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1 210 </w:t>
            </w:r>
            <w:r w:rsidR="00357F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000,00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9F0FE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F086E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4DC400A0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0D872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a) w jednostkach powiązanych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C7651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3C04B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4BFEF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02366390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8DAEE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- udziały lub akcje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3D060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DCCB8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35A26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43B81E06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64A2D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- inne papiery wartościowe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88966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BF1F0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D3C88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194E61E4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4A63F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- udzielone pożyczki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A7F19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AD579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C524E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3560C28B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E1C5A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- inne krótkoterminowe aktywa finansowe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28F33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C5D95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F16F6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4317286B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42CE8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b) w pozostałych jednostkach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B9507" w14:textId="77777777" w:rsidR="00496298" w:rsidRPr="00496298" w:rsidRDefault="00496298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0F1BB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651A5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497ACFAB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665EA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- udziały lub akcje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0A211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63AC4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9742E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26AB611E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DAD7D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- inne papiery wartościowe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54A21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9DD41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9FDD3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5D42701F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99118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- udzielone pożyczki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00D5A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D020C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463B8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1748247D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42CC7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- inne krótkoterminowe aktywa finansowe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6AE20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2E7AE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EC0D2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55B101A2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C8DFA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c) środki pieniężne i inne aktywa pieniężne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F7D00" w14:textId="6D8CBB07" w:rsidR="00496298" w:rsidRPr="00496298" w:rsidRDefault="00F77B40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1 210 0</w:t>
            </w:r>
            <w:r w:rsidR="00357F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00,00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B1FEC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4800B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3496B453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88350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- środki pieniężne w kasie i na rachunkach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25746" w14:textId="799B3C9C" w:rsidR="00496298" w:rsidRPr="00496298" w:rsidRDefault="00F77B40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1 210</w:t>
            </w:r>
            <w:r w:rsidR="006254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000,00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AEFA5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88E44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3DA3A8FD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0A407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- inne środki pieniężne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16C26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EABD8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36697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054ADE79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6CE99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- inne aktywa pieniężne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09183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AFE78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11E0F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469A2B7E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58434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2. Inne inwestycje krótkoterminowe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D73DE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2CF3C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5047E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20CF0328" w14:textId="77777777" w:rsidTr="0049629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352D2" w14:textId="15AA3C9C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IV. Krótkoterminowe </w:t>
            </w:r>
            <w:r w:rsidR="005316DB"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rozliczenia</w:t>
            </w: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międzyokresowe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D1829" w14:textId="7A61C94D" w:rsidR="00496298" w:rsidRPr="00496298" w:rsidRDefault="00496298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="006254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000,00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49684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F1394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96298" w:rsidRPr="00496298" w14:paraId="4A67A5C0" w14:textId="77777777" w:rsidTr="00496298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8D67F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AKTYWA RAZEM: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98C20" w14:textId="6FB891A1" w:rsidR="00496298" w:rsidRPr="00496298" w:rsidRDefault="00F77B40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5 488 714</w:t>
            </w:r>
            <w:r w:rsidR="006254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14DC4" w14:textId="77777777" w:rsidR="00496298" w:rsidRPr="00496298" w:rsidRDefault="00496298" w:rsidP="0049629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62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PASYWA  RAZEM: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11D24" w14:textId="16E019AD" w:rsidR="00496298" w:rsidRPr="00496298" w:rsidRDefault="00F77B40" w:rsidP="0049629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5 488 714</w:t>
            </w:r>
            <w:r w:rsidR="006254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,00</w:t>
            </w:r>
          </w:p>
        </w:tc>
      </w:tr>
    </w:tbl>
    <w:p w14:paraId="0D89E7B3" w14:textId="55A8C9CC" w:rsidR="00496298" w:rsidRDefault="00496298" w:rsidP="00525F36"/>
    <w:p w14:paraId="47526C27" w14:textId="77777777" w:rsidR="00496298" w:rsidRDefault="00496298">
      <w:pPr>
        <w:widowControl/>
        <w:suppressAutoHyphens w:val="0"/>
        <w:jc w:val="both"/>
      </w:pPr>
      <w:r>
        <w:br w:type="page"/>
      </w:r>
    </w:p>
    <w:p w14:paraId="72C39E9C" w14:textId="77777777" w:rsidR="00496298" w:rsidRDefault="00496298" w:rsidP="00525F36"/>
    <w:p w14:paraId="0CF15C67" w14:textId="54ADECB9" w:rsidR="00137AEB" w:rsidRPr="00C9516D" w:rsidRDefault="009321F7" w:rsidP="00C9516D">
      <w:pPr>
        <w:widowControl/>
        <w:suppressAutoHyphens w:val="0"/>
        <w:jc w:val="both"/>
      </w:pPr>
      <w:r w:rsidRPr="001A0FE4">
        <w:rPr>
          <w:b/>
          <w:szCs w:val="24"/>
        </w:rPr>
        <w:t xml:space="preserve">2.3.1. </w:t>
      </w:r>
      <w:r w:rsidR="00137AEB" w:rsidRPr="001A0FE4">
        <w:rPr>
          <w:b/>
        </w:rPr>
        <w:t>Prognoza kształtowania się wielkości zobo</w:t>
      </w:r>
      <w:r w:rsidR="009A4843">
        <w:rPr>
          <w:b/>
        </w:rPr>
        <w:t>wiązań wymagalnych w latach 20</w:t>
      </w:r>
      <w:r w:rsidR="00EA270E">
        <w:rPr>
          <w:b/>
        </w:rPr>
        <w:t>2</w:t>
      </w:r>
      <w:r w:rsidR="00C11D69">
        <w:rPr>
          <w:b/>
        </w:rPr>
        <w:t>4</w:t>
      </w:r>
      <w:r w:rsidR="009A4843">
        <w:rPr>
          <w:b/>
        </w:rPr>
        <w:t>, 202</w:t>
      </w:r>
      <w:r w:rsidR="00C11D69">
        <w:rPr>
          <w:b/>
        </w:rPr>
        <w:t>5</w:t>
      </w:r>
      <w:r w:rsidR="00625470">
        <w:rPr>
          <w:b/>
        </w:rPr>
        <w:t xml:space="preserve"> </w:t>
      </w:r>
      <w:r w:rsidR="001775E6">
        <w:rPr>
          <w:b/>
        </w:rPr>
        <w:t>i </w:t>
      </w:r>
      <w:r w:rsidR="00137AEB" w:rsidRPr="001A0FE4">
        <w:rPr>
          <w:b/>
        </w:rPr>
        <w:t>20</w:t>
      </w:r>
      <w:r w:rsidR="00D73EC2">
        <w:rPr>
          <w:b/>
        </w:rPr>
        <w:t>2</w:t>
      </w:r>
      <w:r w:rsidR="00C11D69">
        <w:rPr>
          <w:b/>
        </w:rPr>
        <w:t>6</w:t>
      </w:r>
    </w:p>
    <w:p w14:paraId="22728D8C" w14:textId="77777777" w:rsidR="006B1630" w:rsidRDefault="006B1630" w:rsidP="00A1524D">
      <w:pPr>
        <w:pStyle w:val="Nagwek4"/>
        <w:jc w:val="both"/>
        <w:rPr>
          <w:b w:val="0"/>
          <w:sz w:val="24"/>
          <w:szCs w:val="24"/>
        </w:rPr>
      </w:pPr>
    </w:p>
    <w:p w14:paraId="1FACFB32" w14:textId="76F80A90" w:rsidR="000F1127" w:rsidRPr="0051113E" w:rsidRDefault="001B32D2" w:rsidP="00772DB1">
      <w:pPr>
        <w:spacing w:line="360" w:lineRule="auto"/>
        <w:ind w:firstLine="708"/>
        <w:jc w:val="both"/>
      </w:pPr>
      <w:r>
        <w:t>Zakład w roku 20</w:t>
      </w:r>
      <w:r w:rsidR="00417CA8">
        <w:t>2</w:t>
      </w:r>
      <w:r w:rsidR="00C11D69">
        <w:t>3</w:t>
      </w:r>
      <w:r w:rsidR="00625470">
        <w:t xml:space="preserve"> nie </w:t>
      </w:r>
      <w:r w:rsidR="00C00508" w:rsidRPr="0051113E">
        <w:t>posiad</w:t>
      </w:r>
      <w:r w:rsidR="00D73EC2" w:rsidRPr="0051113E">
        <w:t>a</w:t>
      </w:r>
      <w:r w:rsidR="00C00508" w:rsidRPr="0051113E">
        <w:t>ł zobowiąza</w:t>
      </w:r>
      <w:r w:rsidR="00625470">
        <w:t>ń</w:t>
      </w:r>
      <w:r w:rsidR="00C00508" w:rsidRPr="0051113E">
        <w:t xml:space="preserve"> wymagaln</w:t>
      </w:r>
      <w:r w:rsidR="00625470">
        <w:t>ych</w:t>
      </w:r>
      <w:r>
        <w:t>.</w:t>
      </w:r>
      <w:r w:rsidR="00417CA8">
        <w:t xml:space="preserve"> W następnych latach</w:t>
      </w:r>
      <w:r w:rsidR="00BF7682">
        <w:t xml:space="preserve"> również</w:t>
      </w:r>
      <w:r w:rsidR="00417CA8">
        <w:t xml:space="preserve"> </w:t>
      </w:r>
      <w:r w:rsidR="005B11F9">
        <w:t>nie przewiduje</w:t>
      </w:r>
      <w:r w:rsidR="00BF7682">
        <w:t xml:space="preserve"> takich</w:t>
      </w:r>
      <w:r w:rsidR="005B11F9">
        <w:t xml:space="preserve"> zobowiązań</w:t>
      </w:r>
      <w:r w:rsidR="00417CA8">
        <w:t>.</w:t>
      </w:r>
    </w:p>
    <w:p w14:paraId="4A2D5DA4" w14:textId="77777777" w:rsidR="006B1630" w:rsidRDefault="006B1630" w:rsidP="00A1524D">
      <w:pPr>
        <w:pStyle w:val="Nagwek4"/>
        <w:jc w:val="both"/>
        <w:rPr>
          <w:b w:val="0"/>
          <w:sz w:val="24"/>
          <w:szCs w:val="24"/>
        </w:rPr>
      </w:pPr>
    </w:p>
    <w:p w14:paraId="496E4A6C" w14:textId="77777777" w:rsidR="006B1630" w:rsidRDefault="006B1630" w:rsidP="00A1524D">
      <w:pPr>
        <w:pStyle w:val="Nagwek4"/>
        <w:jc w:val="both"/>
        <w:rPr>
          <w:b w:val="0"/>
          <w:sz w:val="24"/>
          <w:szCs w:val="24"/>
        </w:rPr>
      </w:pPr>
    </w:p>
    <w:p w14:paraId="2729F604" w14:textId="77777777" w:rsidR="006B1630" w:rsidRDefault="006B1630" w:rsidP="00A1524D">
      <w:pPr>
        <w:pStyle w:val="Nagwek4"/>
        <w:jc w:val="both"/>
        <w:rPr>
          <w:b w:val="0"/>
          <w:sz w:val="24"/>
          <w:szCs w:val="24"/>
        </w:rPr>
        <w:sectPr w:rsidR="006B1630" w:rsidSect="0046257E">
          <w:footerReference w:type="default" r:id="rId8"/>
          <w:footerReference w:type="first" r:id="rId9"/>
          <w:pgSz w:w="11906" w:h="16838"/>
          <w:pgMar w:top="993" w:right="1417" w:bottom="1417" w:left="1134" w:header="708" w:footer="708" w:gutter="0"/>
          <w:cols w:space="708"/>
          <w:titlePg/>
          <w:docGrid w:linePitch="360"/>
        </w:sectPr>
      </w:pPr>
    </w:p>
    <w:p w14:paraId="0FCFB6B2" w14:textId="47CFB6BC" w:rsidR="00A1524D" w:rsidRPr="001A0FE4" w:rsidRDefault="009321F7" w:rsidP="001A0FE4">
      <w:pPr>
        <w:pStyle w:val="Nagwek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6" w:name="_Toc104448295"/>
      <w:r w:rsidRPr="001A0FE4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2.4. </w:t>
      </w:r>
      <w:r w:rsidR="003D214E" w:rsidRPr="001A0FE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Prognoza wartości wskaźników </w:t>
      </w:r>
      <w:proofErr w:type="spellStart"/>
      <w:r w:rsidR="003D214E" w:rsidRPr="001A0FE4">
        <w:rPr>
          <w:rFonts w:ascii="Times New Roman" w:hAnsi="Times New Roman" w:cs="Times New Roman"/>
          <w:b w:val="0"/>
          <w:color w:val="auto"/>
          <w:sz w:val="24"/>
          <w:szCs w:val="24"/>
        </w:rPr>
        <w:t>ekonomiczno</w:t>
      </w:r>
      <w:proofErr w:type="spellEnd"/>
      <w:r w:rsidR="003D214E" w:rsidRPr="001A0FE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24C32" w:rsidRPr="001A0FE4">
        <w:rPr>
          <w:rFonts w:ascii="Times New Roman" w:hAnsi="Times New Roman" w:cs="Times New Roman"/>
          <w:b w:val="0"/>
          <w:color w:val="auto"/>
          <w:sz w:val="24"/>
          <w:szCs w:val="24"/>
        </w:rPr>
        <w:t>–</w:t>
      </w:r>
      <w:r w:rsidR="003D214E" w:rsidRPr="001A0FE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finansowych</w:t>
      </w:r>
      <w:r w:rsidR="00A1524D" w:rsidRPr="001A0FE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wraz z podsumowaniem wyników prognozy wskaźnikowej projekcji sytuacji </w:t>
      </w:r>
      <w:proofErr w:type="spellStart"/>
      <w:r w:rsidR="00A1524D" w:rsidRPr="001A0FE4">
        <w:rPr>
          <w:rFonts w:ascii="Times New Roman" w:hAnsi="Times New Roman" w:cs="Times New Roman"/>
          <w:b w:val="0"/>
          <w:color w:val="auto"/>
          <w:sz w:val="24"/>
          <w:szCs w:val="24"/>
        </w:rPr>
        <w:t>ekonomiczno</w:t>
      </w:r>
      <w:proofErr w:type="spellEnd"/>
      <w:r w:rsidR="00A1524D" w:rsidRPr="001A0FE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– finansowej na</w:t>
      </w:r>
      <w:r w:rsidR="005B11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lata 20</w:t>
      </w:r>
      <w:r w:rsidR="00BB42E9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450480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="005B11F9">
        <w:rPr>
          <w:rFonts w:ascii="Times New Roman" w:hAnsi="Times New Roman" w:cs="Times New Roman"/>
          <w:b w:val="0"/>
          <w:color w:val="auto"/>
          <w:sz w:val="24"/>
          <w:szCs w:val="24"/>
        </w:rPr>
        <w:t>, 202</w:t>
      </w:r>
      <w:r w:rsidR="00450480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="00A1524D" w:rsidRPr="001A0FE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i 20</w:t>
      </w:r>
      <w:r w:rsidR="005B11F9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bookmarkEnd w:id="16"/>
      <w:r w:rsidR="00450480"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</w:p>
    <w:p w14:paraId="2EA089D4" w14:textId="77777777" w:rsidR="002E543A" w:rsidRPr="006B1630" w:rsidRDefault="002E543A" w:rsidP="006B1630"/>
    <w:tbl>
      <w:tblPr>
        <w:tblW w:w="15585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4961"/>
        <w:gridCol w:w="1134"/>
        <w:gridCol w:w="1134"/>
        <w:gridCol w:w="142"/>
        <w:gridCol w:w="992"/>
        <w:gridCol w:w="142"/>
        <w:gridCol w:w="1134"/>
        <w:gridCol w:w="1134"/>
        <w:gridCol w:w="1040"/>
        <w:gridCol w:w="1172"/>
        <w:gridCol w:w="1040"/>
      </w:tblGrid>
      <w:tr w:rsidR="002E543A" w:rsidRPr="002E543A" w14:paraId="72BCB215" w14:textId="77777777" w:rsidTr="002E543A">
        <w:trPr>
          <w:trHeight w:val="555"/>
        </w:trPr>
        <w:tc>
          <w:tcPr>
            <w:tcW w:w="15585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6893" w14:textId="77777777" w:rsidR="002E543A" w:rsidRPr="002E543A" w:rsidRDefault="002E543A" w:rsidP="002E543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2E543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TABELA PODSUMOWUJĄCA WYNIKI OCENY SYTUACJI EKONOMICZNO-FINANSOWEJ</w:t>
            </w:r>
          </w:p>
        </w:tc>
      </w:tr>
      <w:tr w:rsidR="002E543A" w:rsidRPr="002E543A" w14:paraId="4795025D" w14:textId="77777777" w:rsidTr="002E543A">
        <w:trPr>
          <w:trHeight w:val="54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6FECE"/>
            <w:noWrap/>
            <w:vAlign w:val="center"/>
            <w:hideMark/>
          </w:tcPr>
          <w:p w14:paraId="4C08B1EF" w14:textId="77777777" w:rsidR="002E543A" w:rsidRPr="002E543A" w:rsidRDefault="002E543A" w:rsidP="002E543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2E543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Grupa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6FECE"/>
            <w:noWrap/>
            <w:vAlign w:val="center"/>
            <w:hideMark/>
          </w:tcPr>
          <w:p w14:paraId="049F03A8" w14:textId="77777777" w:rsidR="002E543A" w:rsidRPr="002E543A" w:rsidRDefault="002E543A" w:rsidP="002E543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2E543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Wskaźniki</w:t>
            </w:r>
          </w:p>
        </w:tc>
        <w:tc>
          <w:tcPr>
            <w:tcW w:w="467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6FECE"/>
            <w:noWrap/>
            <w:vAlign w:val="center"/>
            <w:hideMark/>
          </w:tcPr>
          <w:p w14:paraId="635BF1BC" w14:textId="77777777" w:rsidR="002E543A" w:rsidRPr="002E543A" w:rsidRDefault="002E543A" w:rsidP="002E543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2E543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Wartość wskaźnika</w:t>
            </w:r>
          </w:p>
        </w:tc>
        <w:tc>
          <w:tcPr>
            <w:tcW w:w="438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6FECE"/>
            <w:noWrap/>
            <w:vAlign w:val="center"/>
            <w:hideMark/>
          </w:tcPr>
          <w:p w14:paraId="5955B1DB" w14:textId="77777777" w:rsidR="002E543A" w:rsidRPr="002E543A" w:rsidRDefault="002E543A" w:rsidP="002E543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2E543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Ocena</w:t>
            </w:r>
          </w:p>
        </w:tc>
      </w:tr>
      <w:tr w:rsidR="002E543A" w:rsidRPr="002E543A" w14:paraId="3440D27F" w14:textId="77777777" w:rsidTr="002E543A">
        <w:trPr>
          <w:trHeight w:val="54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88187" w14:textId="77777777" w:rsidR="002E543A" w:rsidRPr="002E543A" w:rsidRDefault="002E543A" w:rsidP="002E543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2E543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DE66C" w14:textId="77777777" w:rsidR="002E543A" w:rsidRPr="002E543A" w:rsidRDefault="002E543A" w:rsidP="002E543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2E543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6FECE"/>
            <w:noWrap/>
            <w:vAlign w:val="center"/>
            <w:hideMark/>
          </w:tcPr>
          <w:p w14:paraId="58DD708F" w14:textId="38D35D5A" w:rsidR="002E543A" w:rsidRPr="002E543A" w:rsidRDefault="002E543A" w:rsidP="002E543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2E543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20</w:t>
            </w:r>
            <w:r w:rsidR="00AA575B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2</w:t>
            </w:r>
            <w:r w:rsidR="00827B42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FECE"/>
            <w:noWrap/>
            <w:vAlign w:val="center"/>
            <w:hideMark/>
          </w:tcPr>
          <w:p w14:paraId="4234080C" w14:textId="677E4EAD" w:rsidR="002E543A" w:rsidRPr="00511CDE" w:rsidRDefault="005B11F9" w:rsidP="002E543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511CDE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20</w:t>
            </w:r>
            <w:r w:rsidR="00BB42E9" w:rsidRPr="00511CDE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2</w:t>
            </w:r>
            <w:r w:rsidR="00827B42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4</w:t>
            </w:r>
            <w:r w:rsidR="002E543A" w:rsidRPr="00511CDE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 xml:space="preserve"> - prognoza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FECE"/>
            <w:noWrap/>
            <w:vAlign w:val="center"/>
            <w:hideMark/>
          </w:tcPr>
          <w:p w14:paraId="612595FD" w14:textId="6E28B4AF" w:rsidR="002E543A" w:rsidRPr="00511CDE" w:rsidRDefault="005B11F9" w:rsidP="002E543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511CDE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202</w:t>
            </w:r>
            <w:r w:rsidR="00827B42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5</w:t>
            </w:r>
            <w:r w:rsidR="002E543A" w:rsidRPr="00511CDE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 xml:space="preserve"> - prognoza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6FECE"/>
            <w:noWrap/>
            <w:vAlign w:val="center"/>
            <w:hideMark/>
          </w:tcPr>
          <w:p w14:paraId="79F7FEBF" w14:textId="1F4CC8FA" w:rsidR="002E543A" w:rsidRPr="002E543A" w:rsidRDefault="005B11F9" w:rsidP="002E543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202</w:t>
            </w:r>
            <w:r w:rsidR="00827B42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6</w:t>
            </w:r>
            <w:r w:rsidR="002E543A" w:rsidRPr="002E543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 xml:space="preserve"> - prognoza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6FECE"/>
            <w:noWrap/>
            <w:vAlign w:val="center"/>
            <w:hideMark/>
          </w:tcPr>
          <w:p w14:paraId="39F4DE8C" w14:textId="6BA38694" w:rsidR="002E543A" w:rsidRPr="002E543A" w:rsidRDefault="002E543A" w:rsidP="002E543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2E543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20</w:t>
            </w:r>
            <w:r w:rsidR="00AA575B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2</w:t>
            </w:r>
            <w:r w:rsidR="00827B42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3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FECE"/>
            <w:noWrap/>
            <w:vAlign w:val="center"/>
            <w:hideMark/>
          </w:tcPr>
          <w:p w14:paraId="020A6FC3" w14:textId="63EE8DD0" w:rsidR="002E543A" w:rsidRPr="002E543A" w:rsidRDefault="005B11F9" w:rsidP="002E543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20</w:t>
            </w:r>
            <w:r w:rsidR="00BB42E9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2</w:t>
            </w:r>
            <w:r w:rsidR="00827B42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4</w:t>
            </w:r>
            <w:r w:rsidR="002E543A" w:rsidRPr="002E543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- prognoza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FECE"/>
            <w:noWrap/>
            <w:vAlign w:val="center"/>
            <w:hideMark/>
          </w:tcPr>
          <w:p w14:paraId="656E4994" w14:textId="4AD3405D" w:rsidR="002E543A" w:rsidRPr="002E543A" w:rsidRDefault="005B11F9" w:rsidP="002E543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202</w:t>
            </w:r>
            <w:r w:rsidR="00827B42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5</w:t>
            </w:r>
            <w:r w:rsidR="002E543A" w:rsidRPr="002E543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- prognoza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FECE"/>
            <w:noWrap/>
            <w:vAlign w:val="center"/>
            <w:hideMark/>
          </w:tcPr>
          <w:p w14:paraId="5309A662" w14:textId="66233627" w:rsidR="002E543A" w:rsidRPr="002E543A" w:rsidRDefault="005B11F9" w:rsidP="002E543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202</w:t>
            </w:r>
            <w:r w:rsidR="00827B42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6</w:t>
            </w:r>
            <w:r w:rsidR="002E543A" w:rsidRPr="002E543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- prognoza</w:t>
            </w:r>
          </w:p>
        </w:tc>
      </w:tr>
      <w:tr w:rsidR="00747CFA" w:rsidRPr="00747CFA" w14:paraId="30D2D2D2" w14:textId="77777777" w:rsidTr="002E543A">
        <w:trPr>
          <w:trHeight w:val="255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DDC"/>
            <w:vAlign w:val="center"/>
            <w:hideMark/>
          </w:tcPr>
          <w:p w14:paraId="35D82442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1. Wskaźniki zyskowności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14:paraId="3FF3D4D0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1) wskaźnik zyskowności netto (%)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08380B6E" w14:textId="2EE5EC3B" w:rsidR="002E543A" w:rsidRPr="00747CFA" w:rsidRDefault="00450480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691B2299" w14:textId="4250A480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157F8B" w:rsidRPr="00747CFA">
              <w:rPr>
                <w:rFonts w:ascii="Arial" w:eastAsia="Times New Roman" w:hAnsi="Arial" w:cs="Arial"/>
                <w:sz w:val="20"/>
                <w:lang w:eastAsia="pl-PL"/>
              </w:rPr>
              <w:t>0,</w:t>
            </w:r>
            <w:r w:rsidR="00827B42">
              <w:rPr>
                <w:rFonts w:ascii="Arial" w:eastAsia="Times New Roman" w:hAnsi="Arial" w:cs="Arial"/>
                <w:sz w:val="20"/>
                <w:lang w:eastAsia="pl-PL"/>
              </w:rPr>
              <w:t>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510B24CB" w14:textId="1BADEDB0" w:rsidR="00877756" w:rsidRPr="00747CFA" w:rsidRDefault="006A6A51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0,</w:t>
            </w:r>
            <w:r w:rsidR="00827B42">
              <w:rPr>
                <w:rFonts w:ascii="Arial" w:eastAsia="Times New Roman" w:hAnsi="Arial" w:cs="Arial"/>
                <w:sz w:val="20"/>
                <w:lang w:eastAsia="pl-PL"/>
              </w:rPr>
              <w:t>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14:paraId="338F5816" w14:textId="5DF9027C" w:rsidR="00586DEF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586DEF">
              <w:rPr>
                <w:rFonts w:ascii="Arial" w:eastAsia="Times New Roman" w:hAnsi="Arial" w:cs="Arial"/>
                <w:sz w:val="20"/>
                <w:lang w:eastAsia="pl-PL"/>
              </w:rPr>
              <w:t>0,</w:t>
            </w:r>
            <w:r w:rsidR="00827B42">
              <w:rPr>
                <w:rFonts w:ascii="Arial" w:eastAsia="Times New Roman" w:hAnsi="Arial" w:cs="Arial"/>
                <w:sz w:val="20"/>
                <w:lang w:eastAsia="pl-PL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1D3323C1" w14:textId="36B7F57F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827B42">
              <w:rPr>
                <w:rFonts w:ascii="Arial" w:eastAsia="Times New Roman" w:hAnsi="Arial" w:cs="Arial"/>
                <w:sz w:val="20"/>
                <w:lang w:eastAsia="pl-PL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4DEF5BD5" w14:textId="57C26D1F" w:rsidR="002E543A" w:rsidRPr="00747CFA" w:rsidRDefault="00827B42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72A2E779" w14:textId="77777777" w:rsidR="002E543A" w:rsidRPr="00747CFA" w:rsidRDefault="006A6A51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14:paraId="6E96F8C7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6A6A51" w:rsidRPr="00747CFA">
              <w:rPr>
                <w:rFonts w:ascii="Arial" w:eastAsia="Times New Roman" w:hAnsi="Arial" w:cs="Arial"/>
                <w:sz w:val="20"/>
                <w:lang w:eastAsia="pl-PL"/>
              </w:rPr>
              <w:t>3</w:t>
            </w:r>
          </w:p>
        </w:tc>
      </w:tr>
      <w:tr w:rsidR="00747CFA" w:rsidRPr="00747CFA" w14:paraId="32B82D75" w14:textId="77777777" w:rsidTr="002E543A">
        <w:trPr>
          <w:trHeight w:val="255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EE84C1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14:paraId="33679803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2) wskaźnik zyskowności działalności operacyjnej (%)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283F71E6" w14:textId="6E12B456" w:rsidR="002E543A" w:rsidRPr="00747CFA" w:rsidRDefault="00450480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250150FC" w14:textId="65FF3113" w:rsidR="002E543A" w:rsidRPr="00747CFA" w:rsidRDefault="00157F8B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0,</w:t>
            </w:r>
            <w:r w:rsidR="00827B42">
              <w:rPr>
                <w:rFonts w:ascii="Arial" w:eastAsia="Times New Roman" w:hAnsi="Arial" w:cs="Arial"/>
                <w:sz w:val="20"/>
                <w:lang w:eastAsia="pl-PL"/>
              </w:rPr>
              <w:t>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3E8C9183" w14:textId="401483A9" w:rsidR="002E543A" w:rsidRPr="00747CFA" w:rsidRDefault="006A6A51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0,</w:t>
            </w:r>
            <w:r w:rsidR="00827B42">
              <w:rPr>
                <w:rFonts w:ascii="Arial" w:eastAsia="Times New Roman" w:hAnsi="Arial" w:cs="Arial"/>
                <w:sz w:val="20"/>
                <w:lang w:eastAsia="pl-PL"/>
              </w:rPr>
              <w:t>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14:paraId="31B730BF" w14:textId="1A25D72C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586DEF">
              <w:rPr>
                <w:rFonts w:ascii="Arial" w:eastAsia="Times New Roman" w:hAnsi="Arial" w:cs="Arial"/>
                <w:sz w:val="20"/>
                <w:lang w:eastAsia="pl-PL"/>
              </w:rPr>
              <w:t>0,</w:t>
            </w:r>
            <w:r w:rsidR="00827B42">
              <w:rPr>
                <w:rFonts w:ascii="Arial" w:eastAsia="Times New Roman" w:hAnsi="Arial" w:cs="Arial"/>
                <w:sz w:val="20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5BD5E747" w14:textId="70CF04F0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CD0A7F">
              <w:rPr>
                <w:rFonts w:ascii="Arial" w:eastAsia="Times New Roman" w:hAnsi="Arial" w:cs="Arial"/>
                <w:sz w:val="20"/>
                <w:lang w:eastAsia="pl-PL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38166B1B" w14:textId="77777777" w:rsidR="002E543A" w:rsidRPr="00747CFA" w:rsidRDefault="00157F8B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4F17BC41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6A6A51" w:rsidRPr="00747CFA">
              <w:rPr>
                <w:rFonts w:ascii="Arial" w:eastAsia="Times New Roman" w:hAnsi="Arial" w:cs="Arial"/>
                <w:sz w:val="20"/>
                <w:lang w:eastAsia="pl-PL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14:paraId="5C9DF476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6A6A51" w:rsidRPr="00747CFA">
              <w:rPr>
                <w:rFonts w:ascii="Arial" w:eastAsia="Times New Roman" w:hAnsi="Arial" w:cs="Arial"/>
                <w:sz w:val="20"/>
                <w:lang w:eastAsia="pl-PL"/>
              </w:rPr>
              <w:t>3</w:t>
            </w:r>
          </w:p>
        </w:tc>
      </w:tr>
      <w:tr w:rsidR="00747CFA" w:rsidRPr="00747CFA" w14:paraId="512115C2" w14:textId="77777777" w:rsidTr="002E543A">
        <w:trPr>
          <w:trHeight w:val="270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B4AC22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14:paraId="543C6AE5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3) wskaźnik zyskowności aktywów (%)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2CDDA52A" w14:textId="09245971" w:rsidR="002E543A" w:rsidRPr="00747CFA" w:rsidRDefault="00450480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9,92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4E160B28" w14:textId="5ED4CFB1" w:rsidR="002E543A" w:rsidRPr="00747CFA" w:rsidRDefault="00157F8B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0,</w:t>
            </w:r>
            <w:r w:rsidR="00827B42">
              <w:rPr>
                <w:rFonts w:ascii="Arial" w:eastAsia="Times New Roman" w:hAnsi="Arial" w:cs="Arial"/>
                <w:sz w:val="20"/>
                <w:lang w:eastAsia="pl-PL"/>
              </w:rPr>
              <w:t>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3EB6E1A3" w14:textId="3AFFB81C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893FFE">
              <w:rPr>
                <w:rFonts w:ascii="Arial" w:eastAsia="Times New Roman" w:hAnsi="Arial" w:cs="Arial"/>
                <w:sz w:val="20"/>
                <w:lang w:eastAsia="pl-PL"/>
              </w:rPr>
              <w:t>0,</w:t>
            </w:r>
            <w:r w:rsidR="00827B42">
              <w:rPr>
                <w:rFonts w:ascii="Arial" w:eastAsia="Times New Roman" w:hAnsi="Arial" w:cs="Arial"/>
                <w:sz w:val="20"/>
                <w:lang w:eastAsia="pl-PL"/>
              </w:rPr>
              <w:t>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14:paraId="08FAF778" w14:textId="2A60F365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827B42">
              <w:rPr>
                <w:rFonts w:ascii="Arial" w:eastAsia="Times New Roman" w:hAnsi="Arial" w:cs="Arial"/>
                <w:sz w:val="20"/>
                <w:lang w:eastAsia="pl-PL"/>
              </w:rPr>
              <w:t>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1EF4747D" w14:textId="22532C6E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CD0A7F">
              <w:rPr>
                <w:rFonts w:ascii="Arial" w:eastAsia="Times New Roman" w:hAnsi="Arial" w:cs="Arial"/>
                <w:sz w:val="20"/>
                <w:lang w:eastAsia="pl-PL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2325943D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157F8B" w:rsidRPr="00747CFA">
              <w:rPr>
                <w:rFonts w:ascii="Arial" w:eastAsia="Times New Roman" w:hAnsi="Arial" w:cs="Arial"/>
                <w:sz w:val="20"/>
                <w:lang w:eastAsia="pl-PL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73B49DCE" w14:textId="65DE7914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893FFE">
              <w:rPr>
                <w:rFonts w:ascii="Arial" w:eastAsia="Times New Roman" w:hAnsi="Arial" w:cs="Arial"/>
                <w:sz w:val="20"/>
                <w:lang w:eastAsia="pl-PL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14:paraId="7316EA22" w14:textId="21C3838C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586DEF">
              <w:rPr>
                <w:rFonts w:ascii="Arial" w:eastAsia="Times New Roman" w:hAnsi="Arial" w:cs="Arial"/>
                <w:sz w:val="20"/>
                <w:lang w:eastAsia="pl-PL"/>
              </w:rPr>
              <w:t>3</w:t>
            </w:r>
          </w:p>
        </w:tc>
      </w:tr>
      <w:tr w:rsidR="00747CFA" w:rsidRPr="00747CFA" w14:paraId="0C7898DF" w14:textId="77777777" w:rsidTr="002E543A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C939B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7A33B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46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6FECE"/>
            <w:noWrap/>
            <w:vAlign w:val="center"/>
            <w:hideMark/>
          </w:tcPr>
          <w:p w14:paraId="6ECE0D6F" w14:textId="77777777" w:rsidR="002E543A" w:rsidRPr="00747CFA" w:rsidRDefault="002E543A" w:rsidP="002E543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1. Razem: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FECE"/>
            <w:noWrap/>
            <w:vAlign w:val="center"/>
            <w:hideMark/>
          </w:tcPr>
          <w:p w14:paraId="71E65707" w14:textId="40EAF499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CD0A7F">
              <w:rPr>
                <w:rFonts w:ascii="Arial" w:eastAsia="Times New Roman" w:hAnsi="Arial" w:cs="Arial"/>
                <w:sz w:val="20"/>
                <w:lang w:eastAsia="pl-PL"/>
              </w:rPr>
              <w:t>1</w:t>
            </w:r>
            <w:r w:rsidR="00827B42">
              <w:rPr>
                <w:rFonts w:ascii="Arial" w:eastAsia="Times New Roman" w:hAnsi="Arial" w:cs="Arial"/>
                <w:sz w:val="20"/>
                <w:lang w:eastAsia="pl-PL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FECE"/>
            <w:noWrap/>
            <w:vAlign w:val="center"/>
            <w:hideMark/>
          </w:tcPr>
          <w:p w14:paraId="2CA5A38D" w14:textId="1AEC3DD5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827B42">
              <w:rPr>
                <w:rFonts w:ascii="Arial" w:eastAsia="Times New Roman" w:hAnsi="Arial" w:cs="Arial"/>
                <w:sz w:val="20"/>
                <w:lang w:eastAsia="pl-PL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FECE"/>
            <w:noWrap/>
            <w:vAlign w:val="center"/>
            <w:hideMark/>
          </w:tcPr>
          <w:p w14:paraId="69802360" w14:textId="47764938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893FFE">
              <w:rPr>
                <w:rFonts w:ascii="Arial" w:eastAsia="Times New Roman" w:hAnsi="Arial" w:cs="Arial"/>
                <w:sz w:val="20"/>
                <w:lang w:eastAsia="pl-PL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FECE"/>
            <w:noWrap/>
            <w:vAlign w:val="center"/>
            <w:hideMark/>
          </w:tcPr>
          <w:p w14:paraId="73D9FAD4" w14:textId="079CFDB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586DEF">
              <w:rPr>
                <w:rFonts w:ascii="Arial" w:eastAsia="Times New Roman" w:hAnsi="Arial" w:cs="Arial"/>
                <w:sz w:val="20"/>
                <w:lang w:eastAsia="pl-PL"/>
              </w:rPr>
              <w:t>9</w:t>
            </w:r>
          </w:p>
        </w:tc>
      </w:tr>
      <w:tr w:rsidR="00747CFA" w:rsidRPr="00747CFA" w14:paraId="4DDC2C6E" w14:textId="77777777" w:rsidTr="002E543A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D4E40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F9950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93E0C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E1DBD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7AB29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E1304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C7977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C8B1E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1E346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8EB6A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747CFA" w:rsidRPr="00747CFA" w14:paraId="7EE8FEB4" w14:textId="77777777" w:rsidTr="002E543A">
        <w:trPr>
          <w:trHeight w:val="255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vAlign w:val="center"/>
            <w:hideMark/>
          </w:tcPr>
          <w:p w14:paraId="12A15985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2. Wskaźniki płynności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14:paraId="52F409D3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1) wskaźnik bieżącej płynności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14:paraId="7729BA91" w14:textId="15C7D07D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827B42">
              <w:rPr>
                <w:rFonts w:ascii="Arial" w:eastAsia="Times New Roman" w:hAnsi="Arial" w:cs="Arial"/>
                <w:sz w:val="20"/>
                <w:lang w:eastAsia="pl-PL"/>
              </w:rPr>
              <w:t>1,14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14:paraId="16E7417E" w14:textId="04134208" w:rsidR="002E543A" w:rsidRPr="00747CFA" w:rsidRDefault="00827B42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1,25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14:paraId="40C83925" w14:textId="028C0003" w:rsidR="002E543A" w:rsidRPr="00747CFA" w:rsidRDefault="00827B42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1,27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14:paraId="5C450706" w14:textId="7C63818C" w:rsidR="002E543A" w:rsidRPr="00747CFA" w:rsidRDefault="00827B42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1,28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14:paraId="5F2B4F10" w14:textId="604585E2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827B42">
              <w:rPr>
                <w:rFonts w:ascii="Arial" w:eastAsia="Times New Roman" w:hAnsi="Arial" w:cs="Arial"/>
                <w:sz w:val="20"/>
                <w:lang w:eastAsia="pl-PL"/>
              </w:rPr>
              <w:t>8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14:paraId="1B850982" w14:textId="4AE2044C" w:rsidR="002E543A" w:rsidRPr="00747CFA" w:rsidRDefault="00827B42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8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14:paraId="59CA7AE5" w14:textId="5C1FE993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827B42">
              <w:rPr>
                <w:rFonts w:ascii="Arial" w:eastAsia="Times New Roman" w:hAnsi="Arial" w:cs="Arial"/>
                <w:sz w:val="20"/>
                <w:lang w:eastAsia="pl-PL"/>
              </w:rPr>
              <w:t>8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14:paraId="47D985A6" w14:textId="3C9ECA86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827B42">
              <w:rPr>
                <w:rFonts w:ascii="Arial" w:eastAsia="Times New Roman" w:hAnsi="Arial" w:cs="Arial"/>
                <w:sz w:val="20"/>
                <w:lang w:eastAsia="pl-PL"/>
              </w:rPr>
              <w:t>8</w:t>
            </w:r>
          </w:p>
        </w:tc>
      </w:tr>
      <w:tr w:rsidR="00747CFA" w:rsidRPr="00747CFA" w14:paraId="5A13501D" w14:textId="77777777" w:rsidTr="002E543A">
        <w:trPr>
          <w:trHeight w:val="270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803195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14:paraId="0FFAF414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2) wskaźnik szybkiej płynności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14:paraId="297259AA" w14:textId="3E5FAF69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827B42">
              <w:rPr>
                <w:rFonts w:ascii="Arial" w:eastAsia="Times New Roman" w:hAnsi="Arial" w:cs="Arial"/>
                <w:sz w:val="20"/>
                <w:lang w:eastAsia="pl-PL"/>
              </w:rPr>
              <w:t>1,14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14:paraId="22E6A3A7" w14:textId="2A08999A" w:rsidR="002E543A" w:rsidRPr="00747CFA" w:rsidRDefault="00827B42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1,25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14:paraId="05210FCB" w14:textId="3F7435B2" w:rsidR="002E543A" w:rsidRPr="00747CFA" w:rsidRDefault="00827B42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14:paraId="60679538" w14:textId="7539E69C" w:rsidR="002E543A" w:rsidRPr="00747CFA" w:rsidRDefault="00827B42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14:paraId="00D46136" w14:textId="47CA349A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827B42">
              <w:rPr>
                <w:rFonts w:ascii="Arial" w:eastAsia="Times New Roman" w:hAnsi="Arial" w:cs="Arial"/>
                <w:sz w:val="20"/>
                <w:lang w:eastAsia="pl-PL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14:paraId="6EA1FC40" w14:textId="1CEBE59D" w:rsidR="002E543A" w:rsidRPr="00747CFA" w:rsidRDefault="00827B42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14:paraId="575726D3" w14:textId="5B73E93B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827B42">
              <w:rPr>
                <w:rFonts w:ascii="Arial" w:eastAsia="Times New Roman" w:hAnsi="Arial" w:cs="Arial"/>
                <w:sz w:val="20"/>
                <w:lang w:eastAsia="pl-PL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14:paraId="45795088" w14:textId="76CE64D1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827B42">
              <w:rPr>
                <w:rFonts w:ascii="Arial" w:eastAsia="Times New Roman" w:hAnsi="Arial" w:cs="Arial"/>
                <w:sz w:val="20"/>
                <w:lang w:eastAsia="pl-PL"/>
              </w:rPr>
              <w:t>13</w:t>
            </w:r>
          </w:p>
        </w:tc>
      </w:tr>
      <w:tr w:rsidR="00747CFA" w:rsidRPr="00747CFA" w14:paraId="552D57A5" w14:textId="77777777" w:rsidTr="002E543A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55927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A073C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46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6FECE"/>
            <w:noWrap/>
            <w:vAlign w:val="center"/>
            <w:hideMark/>
          </w:tcPr>
          <w:p w14:paraId="7AA44902" w14:textId="77777777" w:rsidR="002E543A" w:rsidRPr="00747CFA" w:rsidRDefault="002E543A" w:rsidP="002E543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2. Razem: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FECE"/>
            <w:noWrap/>
            <w:vAlign w:val="center"/>
            <w:hideMark/>
          </w:tcPr>
          <w:p w14:paraId="0B91C51F" w14:textId="6692C69B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827B42">
              <w:rPr>
                <w:rFonts w:ascii="Arial" w:eastAsia="Times New Roman" w:hAnsi="Arial" w:cs="Arial"/>
                <w:sz w:val="20"/>
                <w:lang w:eastAsia="pl-PL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FECE"/>
            <w:noWrap/>
            <w:vAlign w:val="center"/>
            <w:hideMark/>
          </w:tcPr>
          <w:p w14:paraId="7243DF3F" w14:textId="15FD62B1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827B42">
              <w:rPr>
                <w:rFonts w:ascii="Arial" w:eastAsia="Times New Roman" w:hAnsi="Arial" w:cs="Arial"/>
                <w:sz w:val="20"/>
                <w:lang w:eastAsia="pl-PL"/>
              </w:rPr>
              <w:t>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FECE"/>
            <w:noWrap/>
            <w:vAlign w:val="center"/>
            <w:hideMark/>
          </w:tcPr>
          <w:p w14:paraId="30D85B70" w14:textId="7996D888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827B42">
              <w:rPr>
                <w:rFonts w:ascii="Arial" w:eastAsia="Times New Roman" w:hAnsi="Arial" w:cs="Arial"/>
                <w:sz w:val="20"/>
                <w:lang w:eastAsia="pl-PL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FECE"/>
            <w:noWrap/>
            <w:vAlign w:val="center"/>
            <w:hideMark/>
          </w:tcPr>
          <w:p w14:paraId="7738B2B9" w14:textId="5E152F5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827B42">
              <w:rPr>
                <w:rFonts w:ascii="Arial" w:eastAsia="Times New Roman" w:hAnsi="Arial" w:cs="Arial"/>
                <w:sz w:val="20"/>
                <w:lang w:eastAsia="pl-PL"/>
              </w:rPr>
              <w:t>21</w:t>
            </w:r>
          </w:p>
        </w:tc>
      </w:tr>
      <w:tr w:rsidR="00747CFA" w:rsidRPr="00747CFA" w14:paraId="33FCAE77" w14:textId="77777777" w:rsidTr="002E543A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83945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9EE39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4D89A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641E4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ABFA3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6BB10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32F8D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0CCA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B6FAE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85F4C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747CFA" w:rsidRPr="00747CFA" w14:paraId="23DEA6A1" w14:textId="77777777" w:rsidTr="002E543A">
        <w:trPr>
          <w:trHeight w:val="255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7E4BC"/>
            <w:vAlign w:val="center"/>
            <w:hideMark/>
          </w:tcPr>
          <w:p w14:paraId="7FBDEC7C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3. Wskaźniki efektywności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14:paraId="34264869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1) wskaźnik rotacji należności (w dniach)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14:paraId="3BB4A542" w14:textId="07C908D0" w:rsidR="002E543A" w:rsidRPr="00747CFA" w:rsidRDefault="00137941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3</w:t>
            </w:r>
            <w:r w:rsidR="00827B42">
              <w:rPr>
                <w:rFonts w:ascii="Arial" w:eastAsia="Times New Roman" w:hAnsi="Arial" w:cs="Arial"/>
                <w:sz w:val="20"/>
                <w:lang w:eastAsia="pl-PL"/>
              </w:rPr>
              <w:t>2,61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14:paraId="1C34A8E6" w14:textId="3D34BFDA" w:rsidR="002E543A" w:rsidRPr="00747CFA" w:rsidRDefault="00AA0C24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3</w:t>
            </w:r>
            <w:r w:rsidR="00CD0A7F">
              <w:rPr>
                <w:rFonts w:ascii="Arial" w:eastAsia="Times New Roman" w:hAnsi="Arial" w:cs="Arial"/>
                <w:sz w:val="20"/>
                <w:lang w:eastAsia="pl-PL"/>
              </w:rPr>
              <w:t>3,</w:t>
            </w:r>
            <w:r w:rsidR="00827B42">
              <w:rPr>
                <w:rFonts w:ascii="Arial" w:eastAsia="Times New Roman" w:hAnsi="Arial" w:cs="Arial"/>
                <w:sz w:val="20"/>
                <w:lang w:eastAsia="pl-PL"/>
              </w:rPr>
              <w:t>98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14:paraId="2B4043D1" w14:textId="7C4A2159" w:rsidR="002E543A" w:rsidRPr="00747CFA" w:rsidRDefault="00CD0A7F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3</w:t>
            </w:r>
            <w:r w:rsidR="00827B42">
              <w:rPr>
                <w:rFonts w:ascii="Arial" w:eastAsia="Times New Roman" w:hAnsi="Arial" w:cs="Arial"/>
                <w:sz w:val="20"/>
                <w:lang w:eastAsia="pl-PL"/>
              </w:rPr>
              <w:t>0,12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14:paraId="5B766E9C" w14:textId="7801D547" w:rsidR="002E543A" w:rsidRPr="00747CFA" w:rsidRDefault="00827B42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30,05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14:paraId="697E2DA9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4F1C38" w:rsidRPr="00747CFA">
              <w:rPr>
                <w:rFonts w:ascii="Arial" w:eastAsia="Times New Roman" w:hAnsi="Arial" w:cs="Arial"/>
                <w:sz w:val="20"/>
                <w:lang w:eastAsia="pl-PL"/>
              </w:rPr>
              <w:t>3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14:paraId="28AAA82E" w14:textId="77777777" w:rsidR="002E543A" w:rsidRPr="00747CFA" w:rsidRDefault="006A6A51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3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14:paraId="3602A2E3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6A6A51" w:rsidRPr="00747CFA">
              <w:rPr>
                <w:rFonts w:ascii="Arial" w:eastAsia="Times New Roman" w:hAnsi="Arial" w:cs="Arial"/>
                <w:sz w:val="20"/>
                <w:lang w:eastAsia="pl-PL"/>
              </w:rPr>
              <w:t>3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14:paraId="1E2F9E75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6A6A51" w:rsidRPr="00747CFA">
              <w:rPr>
                <w:rFonts w:ascii="Arial" w:eastAsia="Times New Roman" w:hAnsi="Arial" w:cs="Arial"/>
                <w:sz w:val="20"/>
                <w:lang w:eastAsia="pl-PL"/>
              </w:rPr>
              <w:t>3</w:t>
            </w:r>
          </w:p>
        </w:tc>
      </w:tr>
      <w:tr w:rsidR="00747CFA" w:rsidRPr="00747CFA" w14:paraId="71611689" w14:textId="77777777" w:rsidTr="002E543A">
        <w:trPr>
          <w:trHeight w:val="270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FAB23D7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14:paraId="538AAF2B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2) wskaźnik rotacji zobowiązań (w dniach)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14:paraId="0A6EEA14" w14:textId="41AC5199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137941" w:rsidRPr="00747CFA">
              <w:rPr>
                <w:rFonts w:ascii="Arial" w:eastAsia="Times New Roman" w:hAnsi="Arial" w:cs="Arial"/>
                <w:sz w:val="20"/>
                <w:lang w:eastAsia="pl-PL"/>
              </w:rPr>
              <w:t>1</w:t>
            </w:r>
            <w:r w:rsidR="00827B42">
              <w:rPr>
                <w:rFonts w:ascii="Arial" w:eastAsia="Times New Roman" w:hAnsi="Arial" w:cs="Arial"/>
                <w:sz w:val="20"/>
                <w:lang w:eastAsia="pl-PL"/>
              </w:rPr>
              <w:t>5,98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14:paraId="5C16B27E" w14:textId="5AD2799E" w:rsidR="002E543A" w:rsidRPr="00747CFA" w:rsidRDefault="00827B42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12,72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14:paraId="6DCA7293" w14:textId="3256810B" w:rsidR="002E543A" w:rsidRPr="00747CFA" w:rsidRDefault="00893FFE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1</w:t>
            </w:r>
            <w:r w:rsidR="00827B42">
              <w:rPr>
                <w:rFonts w:ascii="Arial" w:eastAsia="Times New Roman" w:hAnsi="Arial" w:cs="Arial"/>
                <w:sz w:val="20"/>
                <w:lang w:eastAsia="pl-PL"/>
              </w:rPr>
              <w:t>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14:paraId="0A9A5356" w14:textId="49A40476" w:rsidR="002E543A" w:rsidRPr="00747CFA" w:rsidRDefault="00CD0A7F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1</w:t>
            </w:r>
            <w:r w:rsidR="00827B42">
              <w:rPr>
                <w:rFonts w:ascii="Arial" w:eastAsia="Times New Roman" w:hAnsi="Arial" w:cs="Arial"/>
                <w:sz w:val="20"/>
                <w:lang w:eastAsia="pl-PL"/>
              </w:rPr>
              <w:t>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14:paraId="5D7BCD4D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FE7978" w:rsidRPr="00747CFA">
              <w:rPr>
                <w:rFonts w:ascii="Arial" w:eastAsia="Times New Roman" w:hAnsi="Arial" w:cs="Arial"/>
                <w:sz w:val="20"/>
                <w:lang w:eastAsia="pl-PL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14:paraId="717FF29D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6A6A51" w:rsidRPr="00747CFA">
              <w:rPr>
                <w:rFonts w:ascii="Arial" w:eastAsia="Times New Roman" w:hAnsi="Arial" w:cs="Arial"/>
                <w:sz w:val="20"/>
                <w:lang w:eastAsia="pl-PL"/>
              </w:rPr>
              <w:t>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14:paraId="548B6399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6A6A51" w:rsidRPr="00747CFA">
              <w:rPr>
                <w:rFonts w:ascii="Arial" w:eastAsia="Times New Roman" w:hAnsi="Arial" w:cs="Arial"/>
                <w:sz w:val="20"/>
                <w:lang w:eastAsia="pl-PL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14:paraId="0278DA73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6A6A51" w:rsidRPr="00747CFA">
              <w:rPr>
                <w:rFonts w:ascii="Arial" w:eastAsia="Times New Roman" w:hAnsi="Arial" w:cs="Arial"/>
                <w:sz w:val="20"/>
                <w:lang w:eastAsia="pl-PL"/>
              </w:rPr>
              <w:t>7</w:t>
            </w:r>
          </w:p>
        </w:tc>
      </w:tr>
      <w:tr w:rsidR="00747CFA" w:rsidRPr="00747CFA" w14:paraId="1CC698A2" w14:textId="77777777" w:rsidTr="002E543A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A7EC8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E968D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46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6FECE"/>
            <w:noWrap/>
            <w:vAlign w:val="center"/>
            <w:hideMark/>
          </w:tcPr>
          <w:p w14:paraId="0F72552D" w14:textId="77777777" w:rsidR="002E543A" w:rsidRPr="00747CFA" w:rsidRDefault="002E543A" w:rsidP="002E543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3. Razem: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FECE"/>
            <w:noWrap/>
            <w:vAlign w:val="center"/>
            <w:hideMark/>
          </w:tcPr>
          <w:p w14:paraId="303A4A6F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FE7978" w:rsidRPr="00747CFA">
              <w:rPr>
                <w:rFonts w:ascii="Arial" w:eastAsia="Times New Roman" w:hAnsi="Arial" w:cs="Arial"/>
                <w:sz w:val="20"/>
                <w:lang w:eastAsia="pl-PL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FECE"/>
            <w:noWrap/>
            <w:vAlign w:val="center"/>
            <w:hideMark/>
          </w:tcPr>
          <w:p w14:paraId="474648CF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6A6A51" w:rsidRPr="00747CFA">
              <w:rPr>
                <w:rFonts w:ascii="Arial" w:eastAsia="Times New Roman" w:hAnsi="Arial" w:cs="Arial"/>
                <w:sz w:val="20"/>
                <w:lang w:eastAsia="pl-PL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FECE"/>
            <w:noWrap/>
            <w:vAlign w:val="center"/>
            <w:hideMark/>
          </w:tcPr>
          <w:p w14:paraId="6E6407C9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6A6A51" w:rsidRPr="00747CFA">
              <w:rPr>
                <w:rFonts w:ascii="Arial" w:eastAsia="Times New Roman" w:hAnsi="Arial" w:cs="Arial"/>
                <w:sz w:val="20"/>
                <w:lang w:eastAsia="pl-PL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FECE"/>
            <w:noWrap/>
            <w:vAlign w:val="center"/>
            <w:hideMark/>
          </w:tcPr>
          <w:p w14:paraId="0E8B9B04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6A6A51" w:rsidRPr="00747CFA">
              <w:rPr>
                <w:rFonts w:ascii="Arial" w:eastAsia="Times New Roman" w:hAnsi="Arial" w:cs="Arial"/>
                <w:sz w:val="20"/>
                <w:lang w:eastAsia="pl-PL"/>
              </w:rPr>
              <w:t>10</w:t>
            </w:r>
          </w:p>
        </w:tc>
      </w:tr>
      <w:tr w:rsidR="00747CFA" w:rsidRPr="00747CFA" w14:paraId="456FEC88" w14:textId="77777777" w:rsidTr="002E543A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A50D4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B7D8E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C6E54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159C5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D9875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E9BB1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7B150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A25FF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0A2F9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DD56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747CFA" w:rsidRPr="00747CFA" w14:paraId="4181B266" w14:textId="77777777" w:rsidTr="002E543A">
        <w:trPr>
          <w:trHeight w:val="255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E0EC"/>
            <w:vAlign w:val="center"/>
            <w:hideMark/>
          </w:tcPr>
          <w:p w14:paraId="71D1F166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4. Wskaźniki zadłużenia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5E0EC"/>
            <w:noWrap/>
            <w:vAlign w:val="center"/>
            <w:hideMark/>
          </w:tcPr>
          <w:p w14:paraId="1E26C7A6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1) wskaźnik zadłużenia aktywów (%)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50C5ECDE" w14:textId="17CC6D0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137941" w:rsidRPr="00747CFA">
              <w:rPr>
                <w:rFonts w:ascii="Arial" w:eastAsia="Times New Roman" w:hAnsi="Arial" w:cs="Arial"/>
                <w:sz w:val="20"/>
                <w:lang w:eastAsia="pl-PL"/>
              </w:rPr>
              <w:t>4</w:t>
            </w:r>
            <w:r w:rsidR="00827B42">
              <w:rPr>
                <w:rFonts w:ascii="Arial" w:eastAsia="Times New Roman" w:hAnsi="Arial" w:cs="Arial"/>
                <w:sz w:val="20"/>
                <w:lang w:eastAsia="pl-PL"/>
              </w:rPr>
              <w:t>1,99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541CD804" w14:textId="01B2021F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827B42">
              <w:rPr>
                <w:rFonts w:ascii="Arial" w:eastAsia="Times New Roman" w:hAnsi="Arial" w:cs="Arial"/>
                <w:sz w:val="20"/>
                <w:lang w:eastAsia="pl-PL"/>
              </w:rPr>
              <w:t>39,84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7197E359" w14:textId="2EF2480A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CD0A7F">
              <w:rPr>
                <w:rFonts w:ascii="Arial" w:eastAsia="Times New Roman" w:hAnsi="Arial" w:cs="Arial"/>
                <w:sz w:val="20"/>
                <w:lang w:eastAsia="pl-PL"/>
              </w:rPr>
              <w:t>4</w:t>
            </w:r>
            <w:r w:rsidR="00827B42">
              <w:rPr>
                <w:rFonts w:ascii="Arial" w:eastAsia="Times New Roman" w:hAnsi="Arial" w:cs="Arial"/>
                <w:sz w:val="20"/>
                <w:lang w:eastAsia="pl-PL"/>
              </w:rPr>
              <w:t>1,46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5E0EC"/>
            <w:noWrap/>
            <w:vAlign w:val="center"/>
            <w:hideMark/>
          </w:tcPr>
          <w:p w14:paraId="6AF9BBA0" w14:textId="148DF182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CD0A7F">
              <w:rPr>
                <w:rFonts w:ascii="Arial" w:eastAsia="Times New Roman" w:hAnsi="Arial" w:cs="Arial"/>
                <w:sz w:val="20"/>
                <w:lang w:eastAsia="pl-PL"/>
              </w:rPr>
              <w:t>4</w:t>
            </w:r>
            <w:r w:rsidR="00827B42">
              <w:rPr>
                <w:rFonts w:ascii="Arial" w:eastAsia="Times New Roman" w:hAnsi="Arial" w:cs="Arial"/>
                <w:sz w:val="20"/>
                <w:lang w:eastAsia="pl-PL"/>
              </w:rPr>
              <w:t>3,63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099FD15B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137941" w:rsidRPr="00747CFA">
              <w:rPr>
                <w:rFonts w:ascii="Arial" w:eastAsia="Times New Roman" w:hAnsi="Arial" w:cs="Arial"/>
                <w:sz w:val="20"/>
                <w:lang w:eastAsia="pl-PL"/>
              </w:rPr>
              <w:t>8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532F36A5" w14:textId="63C06CF5" w:rsidR="00747CF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827B42">
              <w:rPr>
                <w:rFonts w:ascii="Arial" w:eastAsia="Times New Roman" w:hAnsi="Arial" w:cs="Arial"/>
                <w:sz w:val="20"/>
                <w:lang w:eastAsia="pl-PL"/>
              </w:rPr>
              <w:t>10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555046AF" w14:textId="394AD64E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CD0A7F">
              <w:rPr>
                <w:rFonts w:ascii="Arial" w:eastAsia="Times New Roman" w:hAnsi="Arial" w:cs="Arial"/>
                <w:sz w:val="20"/>
                <w:lang w:eastAsia="pl-PL"/>
              </w:rPr>
              <w:t>8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noWrap/>
            <w:vAlign w:val="center"/>
            <w:hideMark/>
          </w:tcPr>
          <w:p w14:paraId="03B49340" w14:textId="2C918466" w:rsidR="002E543A" w:rsidRPr="00747CFA" w:rsidRDefault="00CD0A7F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8</w:t>
            </w:r>
          </w:p>
        </w:tc>
      </w:tr>
      <w:tr w:rsidR="00747CFA" w:rsidRPr="00747CFA" w14:paraId="6F6CCD16" w14:textId="77777777" w:rsidTr="002E543A">
        <w:trPr>
          <w:trHeight w:val="270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A5DD14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E0EC"/>
            <w:noWrap/>
            <w:vAlign w:val="bottom"/>
            <w:hideMark/>
          </w:tcPr>
          <w:p w14:paraId="211F22EE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2) wskaźnik wypłacalności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14:paraId="428BD60F" w14:textId="6C00F8FE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73269D">
              <w:rPr>
                <w:rFonts w:ascii="Arial" w:eastAsia="Times New Roman" w:hAnsi="Arial" w:cs="Arial"/>
                <w:sz w:val="20"/>
                <w:lang w:eastAsia="pl-PL"/>
              </w:rPr>
              <w:t>1,</w:t>
            </w:r>
            <w:r w:rsidR="00827B42">
              <w:rPr>
                <w:rFonts w:ascii="Arial" w:eastAsia="Times New Roman" w:hAnsi="Arial" w:cs="Arial"/>
                <w:sz w:val="20"/>
                <w:lang w:eastAsia="pl-PL"/>
              </w:rPr>
              <w:t>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14:paraId="099FCFE0" w14:textId="2E9281AF" w:rsidR="00747CF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747CFA" w:rsidRPr="00747CFA">
              <w:rPr>
                <w:rFonts w:ascii="Arial" w:eastAsia="Times New Roman" w:hAnsi="Arial" w:cs="Arial"/>
                <w:sz w:val="20"/>
                <w:lang w:eastAsia="pl-PL"/>
              </w:rPr>
              <w:t>1,</w:t>
            </w:r>
            <w:r w:rsidR="00827B42">
              <w:rPr>
                <w:rFonts w:ascii="Arial" w:eastAsia="Times New Roman" w:hAnsi="Arial" w:cs="Arial"/>
                <w:sz w:val="20"/>
                <w:lang w:eastAsia="pl-PL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14:paraId="52F6705B" w14:textId="0383756B" w:rsidR="008948A6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512B2B" w:rsidRPr="00747CFA">
              <w:rPr>
                <w:rFonts w:ascii="Arial" w:eastAsia="Times New Roman" w:hAnsi="Arial" w:cs="Arial"/>
                <w:sz w:val="20"/>
                <w:lang w:eastAsia="pl-PL"/>
              </w:rPr>
              <w:t>1</w:t>
            </w:r>
            <w:r w:rsidR="006A6A51" w:rsidRPr="00747CFA">
              <w:rPr>
                <w:rFonts w:ascii="Arial" w:eastAsia="Times New Roman" w:hAnsi="Arial" w:cs="Arial"/>
                <w:sz w:val="20"/>
                <w:lang w:eastAsia="pl-PL"/>
              </w:rPr>
              <w:t>,</w:t>
            </w:r>
            <w:r w:rsidR="00827B42">
              <w:rPr>
                <w:rFonts w:ascii="Arial" w:eastAsia="Times New Roman" w:hAnsi="Arial" w:cs="Arial"/>
                <w:sz w:val="20"/>
                <w:lang w:eastAsia="pl-PL"/>
              </w:rPr>
              <w:t>1</w:t>
            </w:r>
            <w:r w:rsidR="00CD0A7F">
              <w:rPr>
                <w:rFonts w:ascii="Arial" w:eastAsia="Times New Roman" w:hAnsi="Arial" w:cs="Arial"/>
                <w:sz w:val="20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E0EC"/>
            <w:noWrap/>
            <w:vAlign w:val="bottom"/>
            <w:hideMark/>
          </w:tcPr>
          <w:p w14:paraId="534144CD" w14:textId="178688AF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512B2B" w:rsidRPr="00747CFA">
              <w:rPr>
                <w:rFonts w:ascii="Arial" w:eastAsia="Times New Roman" w:hAnsi="Arial" w:cs="Arial"/>
                <w:sz w:val="20"/>
                <w:lang w:eastAsia="pl-PL"/>
              </w:rPr>
              <w:t>1,</w:t>
            </w:r>
            <w:r w:rsidR="00827B42">
              <w:rPr>
                <w:rFonts w:ascii="Arial" w:eastAsia="Times New Roman" w:hAnsi="Arial" w:cs="Arial"/>
                <w:sz w:val="20"/>
                <w:lang w:eastAsia="pl-PL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14:paraId="09F93BFA" w14:textId="1C4CB841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73269D">
              <w:rPr>
                <w:rFonts w:ascii="Arial" w:eastAsia="Times New Roman" w:hAnsi="Arial" w:cs="Arial"/>
                <w:sz w:val="20"/>
                <w:lang w:eastAsia="pl-PL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14:paraId="397E8E95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512B2B" w:rsidRPr="00747CFA">
              <w:rPr>
                <w:rFonts w:ascii="Arial" w:eastAsia="Times New Roman" w:hAnsi="Arial" w:cs="Arial"/>
                <w:sz w:val="20"/>
                <w:lang w:eastAsia="pl-PL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14:paraId="4730BCC6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512B2B" w:rsidRPr="00747CFA">
              <w:rPr>
                <w:rFonts w:ascii="Arial" w:eastAsia="Times New Roman" w:hAnsi="Arial" w:cs="Arial"/>
                <w:sz w:val="20"/>
                <w:lang w:eastAsia="pl-PL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noWrap/>
            <w:vAlign w:val="bottom"/>
            <w:hideMark/>
          </w:tcPr>
          <w:p w14:paraId="33C6DF2F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512B2B" w:rsidRPr="00747CFA">
              <w:rPr>
                <w:rFonts w:ascii="Arial" w:eastAsia="Times New Roman" w:hAnsi="Arial" w:cs="Arial"/>
                <w:sz w:val="20"/>
                <w:lang w:eastAsia="pl-PL"/>
              </w:rPr>
              <w:t>6</w:t>
            </w:r>
          </w:p>
        </w:tc>
      </w:tr>
      <w:tr w:rsidR="00747CFA" w:rsidRPr="00747CFA" w14:paraId="49A6B2F7" w14:textId="77777777" w:rsidTr="002E543A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BBFB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50BF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46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6FECE"/>
            <w:noWrap/>
            <w:vAlign w:val="bottom"/>
            <w:hideMark/>
          </w:tcPr>
          <w:p w14:paraId="19A26A95" w14:textId="77777777" w:rsidR="002E543A" w:rsidRPr="00747CFA" w:rsidRDefault="002E543A" w:rsidP="002E543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4. Razem: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6FECE"/>
            <w:noWrap/>
            <w:vAlign w:val="bottom"/>
            <w:hideMark/>
          </w:tcPr>
          <w:p w14:paraId="06DF9CA4" w14:textId="6E1FA5D9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5B4A17" w:rsidRPr="00747CFA">
              <w:rPr>
                <w:rFonts w:ascii="Arial" w:eastAsia="Times New Roman" w:hAnsi="Arial" w:cs="Arial"/>
                <w:sz w:val="20"/>
                <w:lang w:eastAsia="pl-PL"/>
              </w:rPr>
              <w:t>1</w:t>
            </w:r>
            <w:r w:rsidR="0073269D">
              <w:rPr>
                <w:rFonts w:ascii="Arial" w:eastAsia="Times New Roman" w:hAnsi="Arial" w:cs="Arial"/>
                <w:sz w:val="20"/>
                <w:lang w:eastAsia="pl-PL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FECE"/>
            <w:noWrap/>
            <w:vAlign w:val="bottom"/>
            <w:hideMark/>
          </w:tcPr>
          <w:p w14:paraId="4B88F022" w14:textId="525E729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6A6A51" w:rsidRPr="00747CFA">
              <w:rPr>
                <w:rFonts w:ascii="Arial" w:eastAsia="Times New Roman" w:hAnsi="Arial" w:cs="Arial"/>
                <w:sz w:val="20"/>
                <w:lang w:eastAsia="pl-PL"/>
              </w:rPr>
              <w:t>1</w:t>
            </w:r>
            <w:r w:rsidR="00827B42">
              <w:rPr>
                <w:rFonts w:ascii="Arial" w:eastAsia="Times New Roman" w:hAnsi="Arial" w:cs="Arial"/>
                <w:sz w:val="20"/>
                <w:lang w:eastAsia="pl-PL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FECE"/>
            <w:noWrap/>
            <w:vAlign w:val="bottom"/>
            <w:hideMark/>
          </w:tcPr>
          <w:p w14:paraId="5F7116CD" w14:textId="7C7920AE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5B11F9" w:rsidRPr="00747CFA">
              <w:rPr>
                <w:rFonts w:ascii="Arial" w:eastAsia="Times New Roman" w:hAnsi="Arial" w:cs="Arial"/>
                <w:sz w:val="20"/>
                <w:lang w:eastAsia="pl-PL"/>
              </w:rPr>
              <w:t>1</w:t>
            </w:r>
            <w:r w:rsidR="00CD0A7F">
              <w:rPr>
                <w:rFonts w:ascii="Arial" w:eastAsia="Times New Roman" w:hAnsi="Arial" w:cs="Arial"/>
                <w:sz w:val="20"/>
                <w:lang w:eastAsia="pl-PL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FECE"/>
            <w:noWrap/>
            <w:vAlign w:val="bottom"/>
            <w:hideMark/>
          </w:tcPr>
          <w:p w14:paraId="10849722" w14:textId="07E93ABB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5B11F9" w:rsidRPr="00747CFA">
              <w:rPr>
                <w:rFonts w:ascii="Arial" w:eastAsia="Times New Roman" w:hAnsi="Arial" w:cs="Arial"/>
                <w:sz w:val="20"/>
                <w:lang w:eastAsia="pl-PL"/>
              </w:rPr>
              <w:t>1</w:t>
            </w:r>
            <w:r w:rsidR="00CD0A7F">
              <w:rPr>
                <w:rFonts w:ascii="Arial" w:eastAsia="Times New Roman" w:hAnsi="Arial" w:cs="Arial"/>
                <w:sz w:val="20"/>
                <w:lang w:eastAsia="pl-PL"/>
              </w:rPr>
              <w:t>4</w:t>
            </w:r>
          </w:p>
        </w:tc>
      </w:tr>
      <w:tr w:rsidR="00747CFA" w:rsidRPr="00747CFA" w14:paraId="4F3B016A" w14:textId="77777777" w:rsidTr="002E543A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8FBD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0F9E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DE96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178E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6E2F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0BD7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203B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4B33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E694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89C3" w14:textId="77777777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747CFA" w:rsidRPr="00747CFA" w14:paraId="395B8E45" w14:textId="77777777" w:rsidTr="002E543A">
        <w:trPr>
          <w:trHeight w:val="270"/>
        </w:trPr>
        <w:tc>
          <w:tcPr>
            <w:tcW w:w="111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6FECE"/>
            <w:noWrap/>
            <w:vAlign w:val="bottom"/>
            <w:hideMark/>
          </w:tcPr>
          <w:p w14:paraId="25B217DA" w14:textId="77777777" w:rsidR="002E543A" w:rsidRPr="00747CFA" w:rsidRDefault="002E543A" w:rsidP="002E543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Łączna wartość punktów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6FECE"/>
            <w:noWrap/>
            <w:vAlign w:val="bottom"/>
            <w:hideMark/>
          </w:tcPr>
          <w:p w14:paraId="3C49BF97" w14:textId="021739E9" w:rsidR="002E543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EA0206">
              <w:rPr>
                <w:rFonts w:ascii="Arial" w:eastAsia="Times New Roman" w:hAnsi="Arial" w:cs="Arial"/>
                <w:sz w:val="20"/>
                <w:lang w:eastAsia="pl-PL"/>
              </w:rPr>
              <w:t>5</w:t>
            </w:r>
            <w:r w:rsidR="00827B42">
              <w:rPr>
                <w:rFonts w:ascii="Arial" w:eastAsia="Times New Roman" w:hAnsi="Arial" w:cs="Arial"/>
                <w:sz w:val="20"/>
                <w:lang w:eastAsia="pl-PL"/>
              </w:rPr>
              <w:t>8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6FECE"/>
            <w:noWrap/>
            <w:vAlign w:val="bottom"/>
            <w:hideMark/>
          </w:tcPr>
          <w:p w14:paraId="7447E2F0" w14:textId="46BA8657" w:rsidR="00747CFA" w:rsidRPr="00747CFA" w:rsidRDefault="002E543A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47CFA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  <w:r w:rsidR="00827B42">
              <w:rPr>
                <w:rFonts w:ascii="Arial" w:eastAsia="Times New Roman" w:hAnsi="Arial" w:cs="Arial"/>
                <w:sz w:val="20"/>
                <w:lang w:eastAsia="pl-PL"/>
              </w:rPr>
              <w:t>57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FECE"/>
            <w:noWrap/>
            <w:vAlign w:val="bottom"/>
            <w:hideMark/>
          </w:tcPr>
          <w:p w14:paraId="04D9FE49" w14:textId="587429F6" w:rsidR="002E543A" w:rsidRPr="00747CFA" w:rsidRDefault="00827B42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54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FECE"/>
            <w:noWrap/>
            <w:vAlign w:val="bottom"/>
            <w:hideMark/>
          </w:tcPr>
          <w:p w14:paraId="39FCFBFB" w14:textId="11C18C11" w:rsidR="002E543A" w:rsidRPr="00747CFA" w:rsidRDefault="00827B42" w:rsidP="002E543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54</w:t>
            </w:r>
          </w:p>
        </w:tc>
      </w:tr>
    </w:tbl>
    <w:p w14:paraId="086DCEDA" w14:textId="77777777" w:rsidR="006B1630" w:rsidRPr="00747CFA" w:rsidRDefault="006B1630" w:rsidP="000366FE"/>
    <w:p w14:paraId="77A5363E" w14:textId="77777777" w:rsidR="006B1630" w:rsidRDefault="006B1630" w:rsidP="000366FE">
      <w:pPr>
        <w:sectPr w:rsidR="006B1630" w:rsidSect="0046257E">
          <w:pgSz w:w="16838" w:h="11906" w:orient="landscape"/>
          <w:pgMar w:top="993" w:right="993" w:bottom="1417" w:left="1417" w:header="708" w:footer="708" w:gutter="0"/>
          <w:pgNumType w:start="29"/>
          <w:cols w:space="708"/>
          <w:titlePg/>
          <w:docGrid w:linePitch="360"/>
        </w:sectPr>
      </w:pPr>
    </w:p>
    <w:p w14:paraId="181ED971" w14:textId="77777777" w:rsidR="008839A4" w:rsidRPr="001A0FE4" w:rsidRDefault="009321F7" w:rsidP="001A0FE4">
      <w:pPr>
        <w:pStyle w:val="Nagwek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7" w:name="_Toc104448296"/>
      <w:r w:rsidRPr="001A0FE4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2.5. </w:t>
      </w:r>
      <w:r w:rsidR="008839A4" w:rsidRPr="001A0FE4">
        <w:rPr>
          <w:rFonts w:ascii="Times New Roman" w:hAnsi="Times New Roman" w:cs="Times New Roman"/>
          <w:b w:val="0"/>
          <w:color w:val="auto"/>
          <w:sz w:val="24"/>
          <w:szCs w:val="24"/>
        </w:rPr>
        <w:t>Podsumowanie prognozy</w:t>
      </w:r>
      <w:bookmarkEnd w:id="17"/>
      <w:r w:rsidR="008839A4" w:rsidRPr="001A0FE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728893B2" w14:textId="77777777" w:rsidR="003313AB" w:rsidRPr="003313AB" w:rsidRDefault="003313AB" w:rsidP="003313AB">
      <w:pPr>
        <w:jc w:val="both"/>
        <w:rPr>
          <w:rFonts w:cs="Arial"/>
          <w:bCs/>
          <w:i/>
          <w:color w:val="548DD4" w:themeColor="text2" w:themeTint="99"/>
          <w:szCs w:val="24"/>
        </w:rPr>
      </w:pPr>
    </w:p>
    <w:p w14:paraId="7C971716" w14:textId="719501B7" w:rsidR="008F42CC" w:rsidRPr="00B1572E" w:rsidRDefault="00A55763" w:rsidP="00C33B4C">
      <w:pPr>
        <w:spacing w:line="360" w:lineRule="auto"/>
        <w:jc w:val="both"/>
        <w:rPr>
          <w:rFonts w:cs="Arial"/>
          <w:bCs/>
          <w:szCs w:val="24"/>
        </w:rPr>
      </w:pPr>
      <w:r w:rsidRPr="00B1572E">
        <w:rPr>
          <w:rFonts w:cs="Arial"/>
          <w:bCs/>
          <w:szCs w:val="24"/>
        </w:rPr>
        <w:t xml:space="preserve">Przyjęta prognoza utrzymuje sytuację finansowo-ekonomiczną Zakładu na </w:t>
      </w:r>
      <w:r w:rsidR="00C11D69">
        <w:rPr>
          <w:rFonts w:cs="Arial"/>
          <w:bCs/>
          <w:szCs w:val="24"/>
        </w:rPr>
        <w:t xml:space="preserve">bardzo </w:t>
      </w:r>
      <w:r w:rsidRPr="00B1572E">
        <w:rPr>
          <w:rFonts w:cs="Arial"/>
          <w:bCs/>
          <w:szCs w:val="24"/>
        </w:rPr>
        <w:t>dobrym</w:t>
      </w:r>
      <w:r w:rsidR="00F30232">
        <w:rPr>
          <w:rFonts w:cs="Arial"/>
          <w:bCs/>
          <w:szCs w:val="24"/>
        </w:rPr>
        <w:t xml:space="preserve"> poziomie, podobnie jak w roku</w:t>
      </w:r>
      <w:r w:rsidRPr="00B1572E">
        <w:rPr>
          <w:rFonts w:cs="Arial"/>
          <w:bCs/>
          <w:szCs w:val="24"/>
        </w:rPr>
        <w:t xml:space="preserve"> poprzedn</w:t>
      </w:r>
      <w:r w:rsidR="00F30232">
        <w:rPr>
          <w:rFonts w:cs="Arial"/>
          <w:bCs/>
          <w:szCs w:val="24"/>
        </w:rPr>
        <w:t>im</w:t>
      </w:r>
      <w:r w:rsidRPr="00B1572E">
        <w:rPr>
          <w:rFonts w:cs="Arial"/>
          <w:bCs/>
          <w:szCs w:val="24"/>
        </w:rPr>
        <w:t xml:space="preserve">.  </w:t>
      </w:r>
      <w:r w:rsidR="00C33B4C" w:rsidRPr="00B1572E">
        <w:rPr>
          <w:rFonts w:cs="Arial"/>
          <w:bCs/>
          <w:szCs w:val="24"/>
        </w:rPr>
        <w:t>Źródłem prognozowanego wzro</w:t>
      </w:r>
      <w:r w:rsidR="00CC553C">
        <w:rPr>
          <w:rFonts w:cs="Arial"/>
          <w:bCs/>
          <w:szCs w:val="24"/>
        </w:rPr>
        <w:t>stu przychodów jest głównie NFZ. N</w:t>
      </w:r>
      <w:r w:rsidR="00C33B4C" w:rsidRPr="00B1572E">
        <w:rPr>
          <w:rFonts w:cs="Arial"/>
          <w:bCs/>
          <w:szCs w:val="24"/>
        </w:rPr>
        <w:t xml:space="preserve">owa siatka płac dla pracowników medycznych opracowana </w:t>
      </w:r>
      <w:r w:rsidR="00B76FB6" w:rsidRPr="00B1572E">
        <w:rPr>
          <w:rFonts w:cs="Arial"/>
          <w:bCs/>
          <w:szCs w:val="24"/>
        </w:rPr>
        <w:t>p</w:t>
      </w:r>
      <w:r w:rsidR="0051113E">
        <w:rPr>
          <w:rFonts w:cs="Arial"/>
          <w:bCs/>
          <w:szCs w:val="24"/>
        </w:rPr>
        <w:t>rzez Ministerstwo Zdrowia</w:t>
      </w:r>
      <w:r w:rsidR="00864579">
        <w:rPr>
          <w:rFonts w:cs="Arial"/>
          <w:bCs/>
          <w:szCs w:val="24"/>
        </w:rPr>
        <w:t>, oraz wzrost najniższej płacy krajowej</w:t>
      </w:r>
      <w:r w:rsidR="0051113E">
        <w:rPr>
          <w:rFonts w:cs="Arial"/>
          <w:bCs/>
          <w:szCs w:val="24"/>
        </w:rPr>
        <w:t xml:space="preserve"> wymusza</w:t>
      </w:r>
      <w:r w:rsidR="00C12554">
        <w:rPr>
          <w:rFonts w:cs="Arial"/>
          <w:bCs/>
          <w:szCs w:val="24"/>
        </w:rPr>
        <w:t xml:space="preserve"> wzrost wynagrodzeń, który jest realizowany do wysokości wynag</w:t>
      </w:r>
      <w:r w:rsidR="00F30232">
        <w:rPr>
          <w:rFonts w:cs="Arial"/>
          <w:bCs/>
          <w:szCs w:val="24"/>
        </w:rPr>
        <w:t>rodzeń minimalnych w kolejnych</w:t>
      </w:r>
      <w:r w:rsidR="00C12554">
        <w:rPr>
          <w:rFonts w:cs="Arial"/>
          <w:bCs/>
          <w:szCs w:val="24"/>
        </w:rPr>
        <w:t xml:space="preserve"> latach. </w:t>
      </w:r>
      <w:r w:rsidR="0051113E">
        <w:rPr>
          <w:rFonts w:cs="Arial"/>
          <w:bCs/>
          <w:szCs w:val="24"/>
        </w:rPr>
        <w:t>Niewielki wzrost</w:t>
      </w:r>
      <w:r w:rsidR="00DC6EE7" w:rsidRPr="00B1572E">
        <w:rPr>
          <w:rFonts w:cs="Arial"/>
          <w:bCs/>
          <w:szCs w:val="24"/>
        </w:rPr>
        <w:t xml:space="preserve"> wartości wskaźników finansowych</w:t>
      </w:r>
      <w:r w:rsidR="005B11F9">
        <w:rPr>
          <w:rFonts w:cs="Arial"/>
          <w:bCs/>
          <w:szCs w:val="24"/>
        </w:rPr>
        <w:t xml:space="preserve"> w latach 20</w:t>
      </w:r>
      <w:r w:rsidR="008B2598">
        <w:rPr>
          <w:rFonts w:cs="Arial"/>
          <w:bCs/>
          <w:szCs w:val="24"/>
        </w:rPr>
        <w:t>2</w:t>
      </w:r>
      <w:r w:rsidR="00827B42">
        <w:rPr>
          <w:rFonts w:cs="Arial"/>
          <w:bCs/>
          <w:szCs w:val="24"/>
        </w:rPr>
        <w:t>4</w:t>
      </w:r>
      <w:r w:rsidR="005B11F9">
        <w:rPr>
          <w:rFonts w:cs="Arial"/>
          <w:bCs/>
          <w:szCs w:val="24"/>
        </w:rPr>
        <w:t>-202</w:t>
      </w:r>
      <w:r w:rsidR="00827B42">
        <w:rPr>
          <w:rFonts w:cs="Arial"/>
          <w:bCs/>
          <w:szCs w:val="24"/>
        </w:rPr>
        <w:t>6</w:t>
      </w:r>
      <w:r w:rsidR="006353DC">
        <w:rPr>
          <w:rFonts w:cs="Arial"/>
          <w:bCs/>
          <w:szCs w:val="24"/>
        </w:rPr>
        <w:t xml:space="preserve"> </w:t>
      </w:r>
      <w:r w:rsidR="0051113E">
        <w:rPr>
          <w:rFonts w:cs="Arial"/>
          <w:bCs/>
          <w:szCs w:val="24"/>
        </w:rPr>
        <w:t>zakładający poprawę wskaźników rentowności</w:t>
      </w:r>
      <w:r w:rsidR="00CC553C">
        <w:rPr>
          <w:rFonts w:cs="Arial"/>
          <w:bCs/>
          <w:szCs w:val="24"/>
        </w:rPr>
        <w:t>,</w:t>
      </w:r>
      <w:r w:rsidR="00DC6EE7" w:rsidRPr="00B1572E">
        <w:rPr>
          <w:rFonts w:cs="Arial"/>
          <w:bCs/>
          <w:szCs w:val="24"/>
        </w:rPr>
        <w:t xml:space="preserve"> daje Zakładowi bezpieczeństwo i pozwala na kontynuowanie działalności. </w:t>
      </w:r>
    </w:p>
    <w:p w14:paraId="4B5D97E9" w14:textId="77777777" w:rsidR="008F42CC" w:rsidRDefault="008F42CC" w:rsidP="003313AB">
      <w:pPr>
        <w:jc w:val="both"/>
        <w:rPr>
          <w:rFonts w:cs="Arial"/>
          <w:bCs/>
          <w:szCs w:val="24"/>
        </w:rPr>
      </w:pPr>
    </w:p>
    <w:p w14:paraId="6099954B" w14:textId="77777777" w:rsidR="008F42CC" w:rsidRDefault="008F42CC" w:rsidP="003313AB">
      <w:pPr>
        <w:jc w:val="both"/>
        <w:rPr>
          <w:rFonts w:cs="Arial"/>
          <w:bCs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4"/>
        <w:gridCol w:w="1276"/>
        <w:gridCol w:w="1276"/>
        <w:gridCol w:w="1134"/>
      </w:tblGrid>
      <w:tr w:rsidR="00827B42" w14:paraId="26610072" w14:textId="77777777" w:rsidTr="007E0A25">
        <w:trPr>
          <w:trHeight w:val="637"/>
          <w:jc w:val="center"/>
        </w:trPr>
        <w:tc>
          <w:tcPr>
            <w:tcW w:w="3874" w:type="dxa"/>
            <w:vAlign w:val="center"/>
          </w:tcPr>
          <w:p w14:paraId="7F013B4E" w14:textId="77777777" w:rsidR="00827B42" w:rsidRPr="00475FC4" w:rsidRDefault="00827B42" w:rsidP="007E0A25">
            <w:pPr>
              <w:pStyle w:val="Nagwek2"/>
              <w:jc w:val="center"/>
              <w:rPr>
                <w:rFonts w:ascii="Calibri" w:hAnsi="Calibri" w:cs="Arial"/>
                <w:iCs/>
                <w:color w:val="auto"/>
                <w:sz w:val="22"/>
                <w:szCs w:val="22"/>
              </w:rPr>
            </w:pPr>
            <w:bookmarkStart w:id="18" w:name="_Toc104448060"/>
            <w:bookmarkStart w:id="19" w:name="_Toc104448297"/>
            <w:r w:rsidRPr="00475FC4">
              <w:rPr>
                <w:rFonts w:ascii="Calibri" w:hAnsi="Calibri" w:cs="Arial"/>
                <w:iCs/>
                <w:color w:val="auto"/>
                <w:sz w:val="22"/>
                <w:szCs w:val="22"/>
              </w:rPr>
              <w:t>Wskaźniki finansowe</w:t>
            </w:r>
            <w:bookmarkEnd w:id="18"/>
            <w:bookmarkEnd w:id="19"/>
          </w:p>
        </w:tc>
        <w:tc>
          <w:tcPr>
            <w:tcW w:w="1276" w:type="dxa"/>
            <w:vAlign w:val="center"/>
          </w:tcPr>
          <w:p w14:paraId="406F9D85" w14:textId="1A2820E5" w:rsidR="00827B42" w:rsidRPr="002C1A44" w:rsidRDefault="00827B42" w:rsidP="007E0A25">
            <w:pPr>
              <w:jc w:val="center"/>
              <w:rPr>
                <w:rFonts w:ascii="Calibri" w:hAnsi="Calibri" w:cs="Arial"/>
                <w:b/>
                <w:bCs/>
                <w:iCs/>
                <w:szCs w:val="22"/>
              </w:rPr>
            </w:pPr>
            <w:r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2024</w:t>
            </w:r>
          </w:p>
        </w:tc>
        <w:tc>
          <w:tcPr>
            <w:tcW w:w="1276" w:type="dxa"/>
            <w:vAlign w:val="center"/>
          </w:tcPr>
          <w:p w14:paraId="14FADCB3" w14:textId="7DF7112C" w:rsidR="00827B42" w:rsidRDefault="00827B42" w:rsidP="007E0A25">
            <w:pPr>
              <w:jc w:val="center"/>
              <w:rPr>
                <w:rFonts w:ascii="Calibri" w:hAnsi="Calibri" w:cs="Arial"/>
                <w:b/>
                <w:bCs/>
                <w:iCs/>
                <w:szCs w:val="22"/>
              </w:rPr>
            </w:pPr>
            <w:r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2025</w:t>
            </w:r>
          </w:p>
        </w:tc>
        <w:tc>
          <w:tcPr>
            <w:tcW w:w="1134" w:type="dxa"/>
            <w:vAlign w:val="center"/>
          </w:tcPr>
          <w:p w14:paraId="76F16949" w14:textId="5415792C" w:rsidR="00827B42" w:rsidRPr="002C1A44" w:rsidRDefault="00827B42" w:rsidP="007E0A25">
            <w:pPr>
              <w:jc w:val="center"/>
              <w:rPr>
                <w:rFonts w:ascii="Calibri" w:hAnsi="Calibri" w:cs="Arial"/>
                <w:b/>
                <w:bCs/>
                <w:iCs/>
                <w:szCs w:val="22"/>
              </w:rPr>
            </w:pPr>
            <w:r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2026</w:t>
            </w:r>
          </w:p>
        </w:tc>
      </w:tr>
      <w:tr w:rsidR="00827B42" w14:paraId="460B2EC2" w14:textId="77777777" w:rsidTr="007E0A25">
        <w:trPr>
          <w:jc w:val="center"/>
        </w:trPr>
        <w:tc>
          <w:tcPr>
            <w:tcW w:w="3874" w:type="dxa"/>
            <w:vAlign w:val="center"/>
          </w:tcPr>
          <w:p w14:paraId="725AD0AE" w14:textId="77777777" w:rsidR="00827B42" w:rsidRPr="009F4884" w:rsidRDefault="00827B42" w:rsidP="007E0A25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Wskaźnik zyskowności netto (%)</w:t>
            </w:r>
          </w:p>
        </w:tc>
        <w:tc>
          <w:tcPr>
            <w:tcW w:w="1276" w:type="dxa"/>
            <w:vAlign w:val="center"/>
          </w:tcPr>
          <w:p w14:paraId="4823A0AB" w14:textId="61ADDC8A" w:rsidR="00827B42" w:rsidRPr="00747CFA" w:rsidRDefault="00827B42" w:rsidP="007E0A25">
            <w:pPr>
              <w:jc w:val="right"/>
              <w:rPr>
                <w:rFonts w:ascii="Calibri" w:hAnsi="Calibri"/>
              </w:rPr>
            </w:pPr>
            <w:r w:rsidRPr="00747CFA">
              <w:rPr>
                <w:rFonts w:ascii="Calibri" w:hAnsi="Calibri"/>
              </w:rPr>
              <w:t>0,</w:t>
            </w:r>
            <w:r>
              <w:rPr>
                <w:rFonts w:ascii="Calibri" w:hAnsi="Calibri"/>
              </w:rPr>
              <w:t>22</w:t>
            </w:r>
          </w:p>
        </w:tc>
        <w:tc>
          <w:tcPr>
            <w:tcW w:w="1276" w:type="dxa"/>
            <w:vAlign w:val="center"/>
          </w:tcPr>
          <w:p w14:paraId="19D79CE3" w14:textId="7735DAB7" w:rsidR="00827B42" w:rsidRPr="00893FFE" w:rsidRDefault="00827B42" w:rsidP="007E0A25">
            <w:pPr>
              <w:jc w:val="right"/>
              <w:rPr>
                <w:rFonts w:ascii="Calibri" w:hAnsi="Calibri"/>
              </w:rPr>
            </w:pPr>
            <w:r w:rsidRPr="00893FFE">
              <w:rPr>
                <w:rFonts w:ascii="Calibri" w:hAnsi="Calibri"/>
              </w:rPr>
              <w:t>0,</w:t>
            </w:r>
            <w:r>
              <w:rPr>
                <w:rFonts w:ascii="Calibri" w:hAnsi="Calibri"/>
              </w:rPr>
              <w:t>25</w:t>
            </w:r>
          </w:p>
        </w:tc>
        <w:tc>
          <w:tcPr>
            <w:tcW w:w="1134" w:type="dxa"/>
            <w:vAlign w:val="center"/>
          </w:tcPr>
          <w:p w14:paraId="7FAA5EFE" w14:textId="2CEF4478" w:rsidR="00827B42" w:rsidRPr="00586DEF" w:rsidRDefault="00827B42" w:rsidP="007E0A2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0,31</w:t>
            </w:r>
          </w:p>
        </w:tc>
      </w:tr>
      <w:tr w:rsidR="00827B42" w14:paraId="1F372A41" w14:textId="77777777" w:rsidTr="007E0A25">
        <w:trPr>
          <w:jc w:val="center"/>
        </w:trPr>
        <w:tc>
          <w:tcPr>
            <w:tcW w:w="3874" w:type="dxa"/>
            <w:vAlign w:val="center"/>
          </w:tcPr>
          <w:p w14:paraId="360DA550" w14:textId="77777777" w:rsidR="00827B42" w:rsidRPr="009F4884" w:rsidRDefault="00827B42" w:rsidP="007E0A25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Wskaźnik zysk działalności operacyjnej (%)</w:t>
            </w:r>
          </w:p>
        </w:tc>
        <w:tc>
          <w:tcPr>
            <w:tcW w:w="1276" w:type="dxa"/>
            <w:vAlign w:val="center"/>
          </w:tcPr>
          <w:p w14:paraId="41CE5719" w14:textId="638534E2" w:rsidR="00827B42" w:rsidRPr="00747CFA" w:rsidRDefault="00827B42" w:rsidP="007E0A25">
            <w:pPr>
              <w:jc w:val="right"/>
              <w:rPr>
                <w:rFonts w:ascii="Calibri" w:hAnsi="Calibri"/>
              </w:rPr>
            </w:pPr>
            <w:r w:rsidRPr="00747CFA">
              <w:rPr>
                <w:rFonts w:ascii="Calibri" w:hAnsi="Calibri"/>
              </w:rPr>
              <w:t>0,</w:t>
            </w:r>
            <w:r>
              <w:rPr>
                <w:rFonts w:ascii="Calibri" w:hAnsi="Calibri"/>
              </w:rPr>
              <w:t>21</w:t>
            </w:r>
          </w:p>
        </w:tc>
        <w:tc>
          <w:tcPr>
            <w:tcW w:w="1276" w:type="dxa"/>
            <w:vAlign w:val="center"/>
          </w:tcPr>
          <w:p w14:paraId="23F0374B" w14:textId="3637FBED" w:rsidR="00827B42" w:rsidRPr="00893FFE" w:rsidRDefault="00827B42" w:rsidP="007E0A25">
            <w:pPr>
              <w:jc w:val="right"/>
              <w:rPr>
                <w:rFonts w:ascii="Calibri" w:hAnsi="Calibri"/>
              </w:rPr>
            </w:pPr>
            <w:r w:rsidRPr="00893FFE">
              <w:rPr>
                <w:rFonts w:ascii="Calibri" w:hAnsi="Calibri"/>
              </w:rPr>
              <w:t>0,</w:t>
            </w:r>
            <w:r>
              <w:rPr>
                <w:rFonts w:ascii="Calibri" w:hAnsi="Calibri"/>
              </w:rPr>
              <w:t>23</w:t>
            </w:r>
          </w:p>
        </w:tc>
        <w:tc>
          <w:tcPr>
            <w:tcW w:w="1134" w:type="dxa"/>
            <w:vAlign w:val="center"/>
          </w:tcPr>
          <w:p w14:paraId="51861096" w14:textId="1CB97CE8" w:rsidR="00827B42" w:rsidRPr="00586DEF" w:rsidRDefault="00827B42" w:rsidP="00586DEF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0,30</w:t>
            </w:r>
          </w:p>
        </w:tc>
      </w:tr>
      <w:tr w:rsidR="00827B42" w14:paraId="1D50B07E" w14:textId="77777777" w:rsidTr="007E0A25">
        <w:trPr>
          <w:jc w:val="center"/>
        </w:trPr>
        <w:tc>
          <w:tcPr>
            <w:tcW w:w="3874" w:type="dxa"/>
            <w:vAlign w:val="center"/>
          </w:tcPr>
          <w:p w14:paraId="225CB856" w14:textId="77777777" w:rsidR="00827B42" w:rsidRPr="009F4884" w:rsidRDefault="00827B42" w:rsidP="007E0A25">
            <w:pPr>
              <w:rPr>
                <w:rFonts w:ascii="Calibri" w:hAnsi="Calibri" w:cs="Arial"/>
                <w:sz w:val="20"/>
              </w:rPr>
            </w:pPr>
            <w:r w:rsidRPr="009F4884">
              <w:rPr>
                <w:rFonts w:ascii="Calibri" w:hAnsi="Calibri" w:cs="Arial"/>
                <w:sz w:val="20"/>
              </w:rPr>
              <w:t>Wska</w:t>
            </w:r>
            <w:r>
              <w:rPr>
                <w:rFonts w:ascii="Calibri" w:hAnsi="Calibri" w:cs="Arial"/>
                <w:sz w:val="20"/>
              </w:rPr>
              <w:t>źnik zyskowności aktywów (%)</w:t>
            </w:r>
          </w:p>
        </w:tc>
        <w:tc>
          <w:tcPr>
            <w:tcW w:w="1276" w:type="dxa"/>
            <w:vAlign w:val="center"/>
          </w:tcPr>
          <w:p w14:paraId="793F1947" w14:textId="13D4D69C" w:rsidR="00827B42" w:rsidRPr="00747CFA" w:rsidRDefault="00827B42" w:rsidP="007E0A25">
            <w:pPr>
              <w:jc w:val="right"/>
              <w:rPr>
                <w:rFonts w:ascii="Calibri" w:hAnsi="Calibri"/>
              </w:rPr>
            </w:pPr>
            <w:r w:rsidRPr="00747CFA">
              <w:rPr>
                <w:rFonts w:ascii="Calibri" w:hAnsi="Calibri"/>
              </w:rPr>
              <w:t>0,</w:t>
            </w:r>
            <w:r>
              <w:rPr>
                <w:rFonts w:ascii="Calibri" w:hAnsi="Calibri"/>
              </w:rPr>
              <w:t>68</w:t>
            </w:r>
          </w:p>
        </w:tc>
        <w:tc>
          <w:tcPr>
            <w:tcW w:w="1276" w:type="dxa"/>
            <w:vAlign w:val="center"/>
          </w:tcPr>
          <w:p w14:paraId="04B9A13F" w14:textId="34342803" w:rsidR="00827B42" w:rsidRPr="00893FFE" w:rsidRDefault="00827B42" w:rsidP="007E0A2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0,83</w:t>
            </w:r>
          </w:p>
        </w:tc>
        <w:tc>
          <w:tcPr>
            <w:tcW w:w="1134" w:type="dxa"/>
            <w:vAlign w:val="center"/>
          </w:tcPr>
          <w:p w14:paraId="606BA974" w14:textId="01537A74" w:rsidR="00827B42" w:rsidRPr="00586DEF" w:rsidRDefault="00827B42" w:rsidP="007E0A2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1,05</w:t>
            </w:r>
          </w:p>
        </w:tc>
      </w:tr>
      <w:tr w:rsidR="00827B42" w14:paraId="37AD10BB" w14:textId="77777777" w:rsidTr="007E0A25">
        <w:trPr>
          <w:jc w:val="center"/>
        </w:trPr>
        <w:tc>
          <w:tcPr>
            <w:tcW w:w="3874" w:type="dxa"/>
            <w:vAlign w:val="center"/>
          </w:tcPr>
          <w:p w14:paraId="3B8F9416" w14:textId="77777777" w:rsidR="00827B42" w:rsidRPr="009F4884" w:rsidRDefault="00827B42" w:rsidP="007E0A25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Wskaźnik bieżącej</w:t>
            </w:r>
            <w:r w:rsidRPr="009F4884">
              <w:rPr>
                <w:rFonts w:ascii="Calibri" w:hAnsi="Calibri" w:cs="Arial"/>
                <w:sz w:val="20"/>
              </w:rPr>
              <w:t xml:space="preserve"> płynności</w:t>
            </w:r>
          </w:p>
        </w:tc>
        <w:tc>
          <w:tcPr>
            <w:tcW w:w="1276" w:type="dxa"/>
            <w:vAlign w:val="center"/>
          </w:tcPr>
          <w:p w14:paraId="041A527B" w14:textId="14D75F59" w:rsidR="00827B42" w:rsidRPr="00747CFA" w:rsidRDefault="00827B42" w:rsidP="007E0A2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1,25</w:t>
            </w:r>
          </w:p>
        </w:tc>
        <w:tc>
          <w:tcPr>
            <w:tcW w:w="1276" w:type="dxa"/>
            <w:vAlign w:val="center"/>
          </w:tcPr>
          <w:p w14:paraId="00DADE01" w14:textId="5A713E50" w:rsidR="00827B42" w:rsidRPr="00893FFE" w:rsidRDefault="00827B42" w:rsidP="007E0A2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1,27</w:t>
            </w:r>
          </w:p>
        </w:tc>
        <w:tc>
          <w:tcPr>
            <w:tcW w:w="1134" w:type="dxa"/>
            <w:vAlign w:val="center"/>
          </w:tcPr>
          <w:p w14:paraId="67836B02" w14:textId="0CD2C5BE" w:rsidR="00827B42" w:rsidRPr="00586DEF" w:rsidRDefault="00827B42" w:rsidP="007E0A2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1,28</w:t>
            </w:r>
          </w:p>
        </w:tc>
      </w:tr>
      <w:tr w:rsidR="00827B42" w14:paraId="65520AE2" w14:textId="77777777" w:rsidTr="007E0A25">
        <w:trPr>
          <w:jc w:val="center"/>
        </w:trPr>
        <w:tc>
          <w:tcPr>
            <w:tcW w:w="3874" w:type="dxa"/>
            <w:vAlign w:val="center"/>
          </w:tcPr>
          <w:p w14:paraId="0567B58C" w14:textId="77777777" w:rsidR="00827B42" w:rsidRPr="009F4884" w:rsidRDefault="00827B42" w:rsidP="007E0A25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Wskaźnik szybkiej płynności</w:t>
            </w:r>
          </w:p>
        </w:tc>
        <w:tc>
          <w:tcPr>
            <w:tcW w:w="1276" w:type="dxa"/>
            <w:vAlign w:val="center"/>
          </w:tcPr>
          <w:p w14:paraId="4EEA96EA" w14:textId="41203B65" w:rsidR="00827B42" w:rsidRPr="00747CFA" w:rsidRDefault="00827B42" w:rsidP="007E0A2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1,25</w:t>
            </w:r>
          </w:p>
        </w:tc>
        <w:tc>
          <w:tcPr>
            <w:tcW w:w="1276" w:type="dxa"/>
            <w:vAlign w:val="center"/>
          </w:tcPr>
          <w:p w14:paraId="18AC7A3C" w14:textId="5A4A4887" w:rsidR="00827B42" w:rsidRPr="00893FFE" w:rsidRDefault="00827B42" w:rsidP="007E0A2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1,27</w:t>
            </w:r>
          </w:p>
        </w:tc>
        <w:tc>
          <w:tcPr>
            <w:tcW w:w="1134" w:type="dxa"/>
            <w:vAlign w:val="center"/>
          </w:tcPr>
          <w:p w14:paraId="2BDA0080" w14:textId="3CE6D08B" w:rsidR="00827B42" w:rsidRPr="00586DEF" w:rsidRDefault="00827B42" w:rsidP="007E0A2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1,28</w:t>
            </w:r>
          </w:p>
        </w:tc>
      </w:tr>
      <w:tr w:rsidR="00827B42" w14:paraId="39910DFE" w14:textId="77777777" w:rsidTr="007E0A25">
        <w:trPr>
          <w:jc w:val="center"/>
        </w:trPr>
        <w:tc>
          <w:tcPr>
            <w:tcW w:w="3874" w:type="dxa"/>
            <w:vAlign w:val="center"/>
          </w:tcPr>
          <w:p w14:paraId="17787EE2" w14:textId="77777777" w:rsidR="00827B42" w:rsidRPr="009F4884" w:rsidRDefault="00827B42" w:rsidP="007E0A25">
            <w:pPr>
              <w:rPr>
                <w:rFonts w:ascii="Calibri" w:hAnsi="Calibri" w:cs="Arial"/>
                <w:sz w:val="20"/>
              </w:rPr>
            </w:pPr>
            <w:r w:rsidRPr="009F4884">
              <w:rPr>
                <w:rFonts w:ascii="Calibri" w:hAnsi="Calibri" w:cs="Arial"/>
                <w:sz w:val="20"/>
              </w:rPr>
              <w:t xml:space="preserve">Wskaźnik </w:t>
            </w:r>
            <w:r>
              <w:rPr>
                <w:rFonts w:ascii="Calibri" w:hAnsi="Calibri" w:cs="Arial"/>
                <w:sz w:val="20"/>
              </w:rPr>
              <w:t>rotacji należności (w dniach)</w:t>
            </w:r>
          </w:p>
        </w:tc>
        <w:tc>
          <w:tcPr>
            <w:tcW w:w="1276" w:type="dxa"/>
            <w:vAlign w:val="center"/>
          </w:tcPr>
          <w:p w14:paraId="4B230431" w14:textId="708030C1" w:rsidR="00827B42" w:rsidRPr="00747CFA" w:rsidRDefault="00827B42" w:rsidP="008B259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33,98</w:t>
            </w:r>
          </w:p>
        </w:tc>
        <w:tc>
          <w:tcPr>
            <w:tcW w:w="1276" w:type="dxa"/>
            <w:vAlign w:val="center"/>
          </w:tcPr>
          <w:p w14:paraId="1964B946" w14:textId="4F68F0D8" w:rsidR="00827B42" w:rsidRPr="00893FFE" w:rsidRDefault="00827B42" w:rsidP="00FA66C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30,12</w:t>
            </w:r>
          </w:p>
        </w:tc>
        <w:tc>
          <w:tcPr>
            <w:tcW w:w="1134" w:type="dxa"/>
            <w:vAlign w:val="center"/>
          </w:tcPr>
          <w:p w14:paraId="4824745E" w14:textId="390B5EB5" w:rsidR="00827B42" w:rsidRPr="00586DEF" w:rsidRDefault="00827B42" w:rsidP="007E0A2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30,05</w:t>
            </w:r>
          </w:p>
        </w:tc>
      </w:tr>
      <w:tr w:rsidR="00827B42" w14:paraId="33307F99" w14:textId="77777777" w:rsidTr="007E0A25">
        <w:trPr>
          <w:jc w:val="center"/>
        </w:trPr>
        <w:tc>
          <w:tcPr>
            <w:tcW w:w="3874" w:type="dxa"/>
            <w:vAlign w:val="center"/>
          </w:tcPr>
          <w:p w14:paraId="0CD2ACEE" w14:textId="77777777" w:rsidR="00827B42" w:rsidRPr="009F4884" w:rsidRDefault="00827B42" w:rsidP="007E0A25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Wskaźnik rotacji zobowiązań (w dniach)</w:t>
            </w:r>
          </w:p>
        </w:tc>
        <w:tc>
          <w:tcPr>
            <w:tcW w:w="1276" w:type="dxa"/>
            <w:vAlign w:val="center"/>
          </w:tcPr>
          <w:p w14:paraId="1B4E3753" w14:textId="701A340B" w:rsidR="00827B42" w:rsidRPr="00747CFA" w:rsidRDefault="00827B42" w:rsidP="007E0A2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12,72</w:t>
            </w:r>
          </w:p>
        </w:tc>
        <w:tc>
          <w:tcPr>
            <w:tcW w:w="1276" w:type="dxa"/>
            <w:vAlign w:val="center"/>
          </w:tcPr>
          <w:p w14:paraId="22AD1DBB" w14:textId="06B20C6B" w:rsidR="00827B42" w:rsidRPr="00893FFE" w:rsidRDefault="00827B42" w:rsidP="00FA3E27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11,78</w:t>
            </w:r>
          </w:p>
        </w:tc>
        <w:tc>
          <w:tcPr>
            <w:tcW w:w="1134" w:type="dxa"/>
            <w:vAlign w:val="center"/>
          </w:tcPr>
          <w:p w14:paraId="665A59B6" w14:textId="357B9FBF" w:rsidR="00827B42" w:rsidRPr="00586DEF" w:rsidRDefault="00827B42" w:rsidP="007E0A2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11,73</w:t>
            </w:r>
          </w:p>
        </w:tc>
      </w:tr>
      <w:tr w:rsidR="00827B42" w14:paraId="4F611A1B" w14:textId="77777777" w:rsidTr="007E0A25">
        <w:trPr>
          <w:jc w:val="center"/>
        </w:trPr>
        <w:tc>
          <w:tcPr>
            <w:tcW w:w="3874" w:type="dxa"/>
            <w:vAlign w:val="center"/>
          </w:tcPr>
          <w:p w14:paraId="669BDA4F" w14:textId="77777777" w:rsidR="00827B42" w:rsidRDefault="00827B42" w:rsidP="007E0A25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Wskaźnik zadłużenia aktywów ( %)</w:t>
            </w:r>
          </w:p>
        </w:tc>
        <w:tc>
          <w:tcPr>
            <w:tcW w:w="1276" w:type="dxa"/>
            <w:vAlign w:val="center"/>
          </w:tcPr>
          <w:p w14:paraId="67C2692D" w14:textId="5FA457C5" w:rsidR="00827B42" w:rsidRPr="00747CFA" w:rsidRDefault="00827B42" w:rsidP="007E0A2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39,84</w:t>
            </w:r>
          </w:p>
        </w:tc>
        <w:tc>
          <w:tcPr>
            <w:tcW w:w="1276" w:type="dxa"/>
            <w:vAlign w:val="center"/>
          </w:tcPr>
          <w:p w14:paraId="2849D41E" w14:textId="35FD2C27" w:rsidR="00827B42" w:rsidRPr="00893FFE" w:rsidRDefault="00827B42" w:rsidP="007E0A2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41,46</w:t>
            </w:r>
          </w:p>
        </w:tc>
        <w:tc>
          <w:tcPr>
            <w:tcW w:w="1134" w:type="dxa"/>
            <w:vAlign w:val="center"/>
          </w:tcPr>
          <w:p w14:paraId="335B4489" w14:textId="5B51ABC1" w:rsidR="00827B42" w:rsidRPr="00586DEF" w:rsidRDefault="00827B42" w:rsidP="007E0A2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43,63</w:t>
            </w:r>
          </w:p>
        </w:tc>
      </w:tr>
      <w:tr w:rsidR="00827B42" w14:paraId="30C5EDC0" w14:textId="77777777" w:rsidTr="007E0A25">
        <w:trPr>
          <w:jc w:val="center"/>
        </w:trPr>
        <w:tc>
          <w:tcPr>
            <w:tcW w:w="3874" w:type="dxa"/>
            <w:vAlign w:val="center"/>
          </w:tcPr>
          <w:p w14:paraId="5B334B95" w14:textId="77777777" w:rsidR="00827B42" w:rsidRDefault="00827B42" w:rsidP="007E0A25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Wskaźnik wypłacalności </w:t>
            </w:r>
          </w:p>
        </w:tc>
        <w:tc>
          <w:tcPr>
            <w:tcW w:w="1276" w:type="dxa"/>
            <w:vAlign w:val="center"/>
          </w:tcPr>
          <w:p w14:paraId="216B53D1" w14:textId="5E6AABD5" w:rsidR="00827B42" w:rsidRPr="00747CFA" w:rsidRDefault="00827B42" w:rsidP="007E0A25">
            <w:pPr>
              <w:jc w:val="right"/>
              <w:rPr>
                <w:rFonts w:ascii="Calibri" w:hAnsi="Calibri"/>
              </w:rPr>
            </w:pPr>
            <w:r w:rsidRPr="00747CFA">
              <w:rPr>
                <w:rFonts w:ascii="Calibri" w:hAnsi="Calibri"/>
              </w:rPr>
              <w:t>1,</w:t>
            </w:r>
            <w:r>
              <w:rPr>
                <w:rFonts w:ascii="Calibri" w:hAnsi="Calibri"/>
              </w:rPr>
              <w:t>11</w:t>
            </w:r>
          </w:p>
        </w:tc>
        <w:tc>
          <w:tcPr>
            <w:tcW w:w="1276" w:type="dxa"/>
            <w:vAlign w:val="center"/>
          </w:tcPr>
          <w:p w14:paraId="2D7B3133" w14:textId="76173BBD" w:rsidR="00827B42" w:rsidRPr="00893FFE" w:rsidRDefault="00827B42" w:rsidP="007E0A25">
            <w:pPr>
              <w:jc w:val="right"/>
              <w:rPr>
                <w:rFonts w:ascii="Calibri" w:hAnsi="Calibri"/>
              </w:rPr>
            </w:pPr>
            <w:r w:rsidRPr="00893FFE">
              <w:rPr>
                <w:rFonts w:ascii="Calibri" w:hAnsi="Calibri"/>
              </w:rPr>
              <w:t>1,</w:t>
            </w:r>
            <w:r>
              <w:rPr>
                <w:rFonts w:ascii="Calibri" w:hAnsi="Calibri"/>
              </w:rPr>
              <w:t>18</w:t>
            </w:r>
          </w:p>
        </w:tc>
        <w:tc>
          <w:tcPr>
            <w:tcW w:w="1134" w:type="dxa"/>
            <w:vAlign w:val="center"/>
          </w:tcPr>
          <w:p w14:paraId="6A1B34D0" w14:textId="72DC52DE" w:rsidR="00827B42" w:rsidRPr="00586DEF" w:rsidRDefault="00827B42" w:rsidP="007E0A25">
            <w:pPr>
              <w:jc w:val="right"/>
              <w:rPr>
                <w:rFonts w:ascii="Calibri" w:hAnsi="Calibri"/>
              </w:rPr>
            </w:pPr>
            <w:r w:rsidRPr="00586DEF">
              <w:rPr>
                <w:rFonts w:ascii="Calibri" w:hAnsi="Calibri"/>
              </w:rPr>
              <w:t>1,</w:t>
            </w:r>
            <w:r>
              <w:rPr>
                <w:rFonts w:ascii="Calibri" w:hAnsi="Calibri"/>
              </w:rPr>
              <w:t>21</w:t>
            </w:r>
          </w:p>
        </w:tc>
      </w:tr>
    </w:tbl>
    <w:p w14:paraId="343E9E97" w14:textId="77777777" w:rsidR="00601841" w:rsidRDefault="00601841" w:rsidP="003313AB">
      <w:pPr>
        <w:jc w:val="both"/>
        <w:rPr>
          <w:rFonts w:cs="Arial"/>
          <w:bCs/>
          <w:szCs w:val="24"/>
        </w:rPr>
      </w:pPr>
    </w:p>
    <w:p w14:paraId="6156D767" w14:textId="6C370270" w:rsidR="00601841" w:rsidRDefault="00601841" w:rsidP="003313AB">
      <w:pPr>
        <w:jc w:val="both"/>
        <w:rPr>
          <w:rFonts w:cs="Arial"/>
          <w:bCs/>
          <w:szCs w:val="24"/>
        </w:rPr>
      </w:pPr>
    </w:p>
    <w:p w14:paraId="156580A5" w14:textId="77777777" w:rsidR="007D7323" w:rsidRDefault="007D7323" w:rsidP="003313AB">
      <w:pPr>
        <w:jc w:val="both"/>
        <w:rPr>
          <w:rFonts w:cs="Arial"/>
          <w:bCs/>
          <w:szCs w:val="24"/>
        </w:rPr>
      </w:pPr>
    </w:p>
    <w:p w14:paraId="5B926E5F" w14:textId="77777777" w:rsidR="00601841" w:rsidRDefault="00601841">
      <w:pPr>
        <w:widowControl/>
        <w:suppressAutoHyphens w:val="0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br w:type="page"/>
      </w:r>
    </w:p>
    <w:p w14:paraId="1BA11831" w14:textId="77777777" w:rsidR="003313AB" w:rsidRDefault="00585B2E" w:rsidP="00585B2E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20" w:name="_Toc482003127"/>
      <w:bookmarkStart w:id="21" w:name="_Toc104448298"/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911FCE" w:rsidRPr="00585B2E">
        <w:rPr>
          <w:rFonts w:ascii="Times New Roman" w:hAnsi="Times New Roman" w:cs="Times New Roman"/>
          <w:sz w:val="24"/>
          <w:szCs w:val="24"/>
        </w:rPr>
        <w:t xml:space="preserve">INFORMACJA O ISTOTNYCH ZDARZENIACH MAJĄCYCH WPŁYW </w:t>
      </w:r>
      <w:r w:rsidR="002962F6">
        <w:rPr>
          <w:rFonts w:ascii="Times New Roman" w:hAnsi="Times New Roman" w:cs="Times New Roman"/>
          <w:sz w:val="24"/>
          <w:szCs w:val="24"/>
        </w:rPr>
        <w:t>NA </w:t>
      </w:r>
      <w:r w:rsidR="00911FCE" w:rsidRPr="00585B2E">
        <w:rPr>
          <w:rFonts w:ascii="Times New Roman" w:hAnsi="Times New Roman" w:cs="Times New Roman"/>
          <w:sz w:val="24"/>
          <w:szCs w:val="24"/>
        </w:rPr>
        <w:t>SYTUACJĘ EKONOMICZNO – FINANSOWĄ SAMODZIELNEGO PUBLICZNEGO ZAKŁADU OPIEKI ZDROWOTNEJ</w:t>
      </w:r>
      <w:bookmarkEnd w:id="20"/>
      <w:bookmarkEnd w:id="21"/>
    </w:p>
    <w:p w14:paraId="0E29D5F0" w14:textId="77777777" w:rsidR="003313AB" w:rsidRDefault="003313AB" w:rsidP="008839A4">
      <w:pPr>
        <w:ind w:left="708"/>
        <w:jc w:val="both"/>
        <w:rPr>
          <w:rFonts w:cs="Arial"/>
          <w:bCs/>
          <w:i/>
          <w:color w:val="548DD4" w:themeColor="text2" w:themeTint="99"/>
          <w:szCs w:val="24"/>
        </w:rPr>
      </w:pPr>
    </w:p>
    <w:p w14:paraId="76010C42" w14:textId="77777777" w:rsidR="00A96156" w:rsidRDefault="00A96156" w:rsidP="008839A4">
      <w:pPr>
        <w:ind w:left="708"/>
        <w:jc w:val="both"/>
        <w:rPr>
          <w:rFonts w:cs="Arial"/>
          <w:bCs/>
          <w:i/>
          <w:color w:val="548DD4" w:themeColor="text2" w:themeTint="99"/>
          <w:szCs w:val="24"/>
        </w:rPr>
      </w:pPr>
    </w:p>
    <w:p w14:paraId="2B219B3B" w14:textId="7E5C5051" w:rsidR="001B6972" w:rsidRDefault="00A96156" w:rsidP="00103426">
      <w:pPr>
        <w:spacing w:line="360" w:lineRule="auto"/>
        <w:jc w:val="both"/>
      </w:pPr>
      <w:r w:rsidRPr="00A93D20">
        <w:t>Na sytuację ekonomiczno-finansową WZOZ n</w:t>
      </w:r>
      <w:r w:rsidR="00BC68A0" w:rsidRPr="00A93D20">
        <w:t>ad Matką, Dzieckiem i Młodzieżą</w:t>
      </w:r>
      <w:r w:rsidRPr="00A93D20">
        <w:t xml:space="preserve"> </w:t>
      </w:r>
      <w:r w:rsidR="00C12554" w:rsidRPr="00A93D20">
        <w:t xml:space="preserve">w roku </w:t>
      </w:r>
      <w:r w:rsidR="00A93D20" w:rsidRPr="00A93D20">
        <w:t>202</w:t>
      </w:r>
      <w:r w:rsidR="00827B42">
        <w:t>3</w:t>
      </w:r>
      <w:r w:rsidR="00193B0E" w:rsidRPr="00A93D20">
        <w:t xml:space="preserve"> </w:t>
      </w:r>
      <w:r w:rsidR="00F22DF3" w:rsidRPr="00A93D20">
        <w:t>i w </w:t>
      </w:r>
      <w:r w:rsidRPr="00A93D20">
        <w:t>latach następnych wpływ m</w:t>
      </w:r>
      <w:r w:rsidR="00BF7682">
        <w:t>iały</w:t>
      </w:r>
      <w:r w:rsidRPr="00A93D20">
        <w:t xml:space="preserve"> następujące uwarunkowania.</w:t>
      </w:r>
      <w:r w:rsidR="00EC3E7E" w:rsidRPr="00A93D20">
        <w:t xml:space="preserve"> </w:t>
      </w:r>
      <w:r w:rsidR="00103426">
        <w:t xml:space="preserve"> </w:t>
      </w:r>
    </w:p>
    <w:p w14:paraId="333F5B02" w14:textId="258349E1" w:rsidR="002568F5" w:rsidRDefault="00686BFF" w:rsidP="00686BFF">
      <w:pPr>
        <w:spacing w:line="360" w:lineRule="auto"/>
        <w:ind w:firstLine="706"/>
        <w:jc w:val="both"/>
      </w:pPr>
      <w:r>
        <w:t>Na dzień 31.12.202</w:t>
      </w:r>
      <w:r w:rsidR="00827B42">
        <w:t>3</w:t>
      </w:r>
      <w:r>
        <w:t xml:space="preserve"> r. Wojewódzki Zakład Opieki Zdrowotnej nad Matką, Dzieckiem i</w:t>
      </w:r>
      <w:r w:rsidR="005316DB">
        <w:t> </w:t>
      </w:r>
      <w:r>
        <w:t>Młodzieżą w Częstochowie posiada wynik finansowy dodatni w wysokości 5</w:t>
      </w:r>
      <w:r w:rsidR="00827B42">
        <w:t>23</w:t>
      </w:r>
      <w:r w:rsidR="00910378">
        <w:t xml:space="preserve"> </w:t>
      </w:r>
      <w:r w:rsidR="00827B42">
        <w:t>805,10</w:t>
      </w:r>
      <w:r>
        <w:t xml:space="preserve">zł (podwyższony  o wartość amortyzacji wynosi + </w:t>
      </w:r>
      <w:r w:rsidR="00910378">
        <w:t xml:space="preserve">1 146 321,92 </w:t>
      </w:r>
      <w:r>
        <w:t>zł).</w:t>
      </w:r>
    </w:p>
    <w:p w14:paraId="05921ADA" w14:textId="1922A5BF" w:rsidR="00454663" w:rsidRPr="00103426" w:rsidRDefault="00454663" w:rsidP="00686BFF">
      <w:pPr>
        <w:spacing w:line="360" w:lineRule="auto"/>
        <w:ind w:firstLine="706"/>
        <w:jc w:val="both"/>
      </w:pPr>
      <w:r w:rsidRPr="00454663">
        <w:t xml:space="preserve"> </w:t>
      </w:r>
      <w:r>
        <w:t>Na uzyskanie  takiego wyniku miało wpływ kilka czynników: spłata zaliczki 1/12 kontraktu do NFZ, która powiększyła przychody roku bieżącego, ścisłe monitorowanie i</w:t>
      </w:r>
      <w:r w:rsidR="00F0139A">
        <w:t> </w:t>
      </w:r>
      <w:r>
        <w:t xml:space="preserve">ograniczenie do niezbędnego minimum kosztów przychodni, co kwartalna zapłata </w:t>
      </w:r>
      <w:proofErr w:type="spellStart"/>
      <w:r>
        <w:t>nadwykonań</w:t>
      </w:r>
      <w:proofErr w:type="spellEnd"/>
      <w:r>
        <w:t xml:space="preserve"> świadczeń zdrowotnych z Funduszu Medycznego oraz wdrażanie działań naprawczych</w:t>
      </w:r>
    </w:p>
    <w:p w14:paraId="065718B0" w14:textId="77777777" w:rsidR="0088674F" w:rsidRDefault="0088674F" w:rsidP="0088674F">
      <w:pPr>
        <w:spacing w:line="360" w:lineRule="auto"/>
        <w:ind w:firstLine="706"/>
        <w:jc w:val="both"/>
        <w:rPr>
          <w:rFonts w:eastAsia="Andale Sans UI"/>
          <w:kern w:val="1"/>
        </w:rPr>
      </w:pPr>
      <w:r w:rsidRPr="004D10BF">
        <w:rPr>
          <w:rFonts w:eastAsia="Andale Sans UI"/>
          <w:kern w:val="1"/>
        </w:rPr>
        <w:t>W roku 202</w:t>
      </w:r>
      <w:r>
        <w:rPr>
          <w:rFonts w:eastAsia="Andale Sans UI"/>
          <w:kern w:val="1"/>
        </w:rPr>
        <w:t>3</w:t>
      </w:r>
      <w:r w:rsidRPr="004D10BF">
        <w:rPr>
          <w:rFonts w:eastAsia="Andale Sans UI"/>
          <w:kern w:val="1"/>
        </w:rPr>
        <w:t xml:space="preserve"> Zakład realizował </w:t>
      </w:r>
      <w:r>
        <w:rPr>
          <w:rFonts w:eastAsia="Andale Sans UI"/>
          <w:kern w:val="1"/>
        </w:rPr>
        <w:t xml:space="preserve"> kilka </w:t>
      </w:r>
      <w:r w:rsidRPr="004D10BF">
        <w:rPr>
          <w:rFonts w:eastAsia="Andale Sans UI"/>
          <w:kern w:val="1"/>
        </w:rPr>
        <w:t>projekt</w:t>
      </w:r>
      <w:r>
        <w:rPr>
          <w:rFonts w:eastAsia="Andale Sans UI"/>
          <w:kern w:val="1"/>
        </w:rPr>
        <w:t>ów unijnych:</w:t>
      </w:r>
    </w:p>
    <w:p w14:paraId="565AD35B" w14:textId="50FF4DC7" w:rsidR="0088674F" w:rsidRDefault="000F6319" w:rsidP="0088674F">
      <w:pPr>
        <w:widowControl/>
        <w:numPr>
          <w:ilvl w:val="0"/>
          <w:numId w:val="10"/>
        </w:numPr>
        <w:suppressAutoHyphens w:val="0"/>
        <w:spacing w:line="360" w:lineRule="auto"/>
        <w:jc w:val="both"/>
        <w:rPr>
          <w:rFonts w:eastAsia="Andale Sans UI"/>
          <w:kern w:val="1"/>
        </w:rPr>
      </w:pPr>
      <w:r>
        <w:rPr>
          <w:rFonts w:eastAsia="Andale Sans UI"/>
          <w:kern w:val="1"/>
        </w:rPr>
        <w:t>D</w:t>
      </w:r>
      <w:r w:rsidR="0088674F" w:rsidRPr="004D10BF">
        <w:rPr>
          <w:rFonts w:eastAsia="Andale Sans UI"/>
          <w:kern w:val="1"/>
        </w:rPr>
        <w:t>la osi priorytetowej: II Cyfrowe Śląskie dla działania 2.1 Wsparcie rozwoju cyfrowych usług publicznych "Nowe e- usługi szansą rozwoju Wojewódzkiego Zakładu Opieki Zdrowotnej nad Matką, Dzieckiem i Młodzieżą z siedzibą w Częstochowie”</w:t>
      </w:r>
      <w:r>
        <w:rPr>
          <w:rFonts w:eastAsia="Andale Sans UI"/>
          <w:kern w:val="1"/>
        </w:rPr>
        <w:t xml:space="preserve">. Całkowita wartość projektu wyniosła </w:t>
      </w:r>
      <w:r w:rsidR="00506BFA">
        <w:rPr>
          <w:rFonts w:eastAsia="Andale Sans UI"/>
          <w:kern w:val="1"/>
        </w:rPr>
        <w:t xml:space="preserve">703 346,02 zł z czego w 2023 roku </w:t>
      </w:r>
      <w:r w:rsidR="0088674F" w:rsidRPr="004D10BF">
        <w:rPr>
          <w:rFonts w:eastAsia="Andale Sans UI"/>
          <w:kern w:val="1"/>
        </w:rPr>
        <w:t xml:space="preserve"> </w:t>
      </w:r>
      <w:r w:rsidR="00506BFA">
        <w:rPr>
          <w:rFonts w:eastAsia="Andale Sans UI"/>
          <w:kern w:val="1"/>
        </w:rPr>
        <w:t>w</w:t>
      </w:r>
      <w:r w:rsidR="0088674F" w:rsidRPr="004D10BF">
        <w:rPr>
          <w:rFonts w:eastAsia="Andale Sans UI"/>
          <w:kern w:val="1"/>
        </w:rPr>
        <w:t>artość zrealizowanego projektu wyniosła 3</w:t>
      </w:r>
      <w:r w:rsidR="0088674F">
        <w:rPr>
          <w:rFonts w:eastAsia="Andale Sans UI"/>
          <w:kern w:val="1"/>
        </w:rPr>
        <w:t>69 142,31</w:t>
      </w:r>
      <w:r w:rsidR="0088674F" w:rsidRPr="004D10BF">
        <w:rPr>
          <w:rFonts w:eastAsia="Andale Sans UI"/>
          <w:kern w:val="1"/>
        </w:rPr>
        <w:t>zl z czego dofinansowanie ze środków UE – 23</w:t>
      </w:r>
      <w:r w:rsidR="0088674F">
        <w:rPr>
          <w:rFonts w:eastAsia="Andale Sans UI"/>
          <w:kern w:val="1"/>
        </w:rPr>
        <w:t>5 638,65</w:t>
      </w:r>
      <w:r w:rsidR="0088674F" w:rsidRPr="004D10BF">
        <w:rPr>
          <w:rFonts w:eastAsia="Andale Sans UI"/>
          <w:kern w:val="1"/>
        </w:rPr>
        <w:t xml:space="preserve"> </w:t>
      </w:r>
      <w:proofErr w:type="spellStart"/>
      <w:r w:rsidR="0088674F" w:rsidRPr="004D10BF">
        <w:rPr>
          <w:rFonts w:eastAsia="Andale Sans UI"/>
          <w:kern w:val="1"/>
        </w:rPr>
        <w:t>zl</w:t>
      </w:r>
      <w:proofErr w:type="spellEnd"/>
      <w:r w:rsidR="0088674F" w:rsidRPr="004D10BF">
        <w:rPr>
          <w:rFonts w:eastAsia="Andale Sans UI"/>
          <w:kern w:val="1"/>
        </w:rPr>
        <w:t xml:space="preserve">, wkład własny  w wysokości </w:t>
      </w:r>
      <w:r w:rsidR="0088674F">
        <w:rPr>
          <w:rFonts w:eastAsia="Andale Sans UI"/>
          <w:kern w:val="1"/>
        </w:rPr>
        <w:t>46 879,05</w:t>
      </w:r>
      <w:r w:rsidR="0088674F" w:rsidRPr="004D10BF">
        <w:rPr>
          <w:rFonts w:eastAsia="Andale Sans UI"/>
          <w:kern w:val="1"/>
        </w:rPr>
        <w:t xml:space="preserve"> zł oraz </w:t>
      </w:r>
      <w:r w:rsidR="0088674F">
        <w:rPr>
          <w:rFonts w:eastAsia="Andale Sans UI"/>
          <w:kern w:val="1"/>
        </w:rPr>
        <w:t>37 402,00</w:t>
      </w:r>
      <w:r w:rsidR="0088674F" w:rsidRPr="004D10BF">
        <w:rPr>
          <w:rFonts w:eastAsia="Andale Sans UI"/>
          <w:kern w:val="1"/>
        </w:rPr>
        <w:t>zł dotację z budżetu Województwa. W ramach tego projektu</w:t>
      </w:r>
      <w:r w:rsidR="0088674F">
        <w:rPr>
          <w:rFonts w:eastAsia="Andale Sans UI"/>
          <w:kern w:val="1"/>
        </w:rPr>
        <w:t xml:space="preserve">  rozbudowano i zmodernizowano System Medyczny i e-usługi, zakupiono Licencje </w:t>
      </w:r>
      <w:proofErr w:type="spellStart"/>
      <w:r w:rsidR="0088674F">
        <w:rPr>
          <w:rFonts w:eastAsia="Andale Sans UI"/>
          <w:kern w:val="1"/>
        </w:rPr>
        <w:t>AlleRad</w:t>
      </w:r>
      <w:proofErr w:type="spellEnd"/>
      <w:r w:rsidR="0088674F">
        <w:rPr>
          <w:rFonts w:eastAsia="Andale Sans UI"/>
          <w:kern w:val="1"/>
        </w:rPr>
        <w:t xml:space="preserve"> oraz przeprowadzono migracje danych.</w:t>
      </w:r>
    </w:p>
    <w:p w14:paraId="756B2578" w14:textId="77777777" w:rsidR="0088674F" w:rsidRDefault="0088674F" w:rsidP="0088674F">
      <w:pPr>
        <w:widowControl/>
        <w:numPr>
          <w:ilvl w:val="0"/>
          <w:numId w:val="10"/>
        </w:numPr>
        <w:suppressAutoHyphens w:val="0"/>
        <w:spacing w:line="360" w:lineRule="auto"/>
        <w:jc w:val="both"/>
        <w:rPr>
          <w:rFonts w:eastAsia="Andale Sans UI"/>
          <w:kern w:val="1"/>
        </w:rPr>
      </w:pPr>
      <w:r>
        <w:rPr>
          <w:rFonts w:eastAsia="Andale Sans UI"/>
          <w:kern w:val="1"/>
        </w:rPr>
        <w:t>„Razem dla Zdrowia -etap II” polegający na zakupie sprzętu wspomagającego rozwiązania organizacyjne oraz szkolenia pracowników. Wartość projektu 240 760,00 zł, z czego dofinansowanie  ze środków UE- 174 747,42 zł, wkład własny Zakładu to 30 837,78 zł</w:t>
      </w:r>
    </w:p>
    <w:p w14:paraId="2A895D83" w14:textId="77777777" w:rsidR="0088674F" w:rsidRPr="004D10BF" w:rsidRDefault="0088674F" w:rsidP="0088674F">
      <w:pPr>
        <w:widowControl/>
        <w:numPr>
          <w:ilvl w:val="0"/>
          <w:numId w:val="10"/>
        </w:numPr>
        <w:suppressAutoHyphens w:val="0"/>
        <w:spacing w:line="360" w:lineRule="auto"/>
        <w:jc w:val="both"/>
        <w:rPr>
          <w:rFonts w:eastAsia="Andale Sans UI"/>
          <w:kern w:val="1"/>
        </w:rPr>
      </w:pPr>
      <w:r>
        <w:rPr>
          <w:rFonts w:eastAsia="Andale Sans UI"/>
          <w:kern w:val="1"/>
        </w:rPr>
        <w:t>„Razem dla Zdrowia -etap III”. Wartość projektu 211 200,00 zł, z czego dofinansowanie ze środków unijnych -134 754,24 zł, wkład własny 23 780,16 zł.</w:t>
      </w:r>
    </w:p>
    <w:p w14:paraId="58288CA9" w14:textId="77777777" w:rsidR="0088674F" w:rsidRPr="00F419F0" w:rsidRDefault="00F74F01" w:rsidP="0088674F">
      <w:pPr>
        <w:spacing w:line="360" w:lineRule="auto"/>
        <w:ind w:firstLine="706"/>
        <w:jc w:val="both"/>
        <w:rPr>
          <w:rFonts w:eastAsia="Andale Sans UI"/>
          <w:kern w:val="1"/>
        </w:rPr>
      </w:pPr>
      <w:r w:rsidRPr="00797154">
        <w:rPr>
          <w:color w:val="FF0000"/>
        </w:rPr>
        <w:tab/>
      </w:r>
      <w:r w:rsidR="0088674F" w:rsidRPr="00F419F0">
        <w:rPr>
          <w:rFonts w:eastAsia="Andale Sans UI"/>
          <w:kern w:val="1"/>
        </w:rPr>
        <w:t>W roku 202</w:t>
      </w:r>
      <w:r w:rsidR="0088674F">
        <w:rPr>
          <w:rFonts w:eastAsia="Andale Sans UI"/>
          <w:kern w:val="1"/>
        </w:rPr>
        <w:t>3</w:t>
      </w:r>
      <w:r w:rsidR="0088674F" w:rsidRPr="00F419F0">
        <w:rPr>
          <w:rFonts w:eastAsia="Andale Sans UI"/>
          <w:kern w:val="1"/>
        </w:rPr>
        <w:t xml:space="preserve"> został</w:t>
      </w:r>
      <w:r w:rsidR="0088674F">
        <w:rPr>
          <w:rFonts w:eastAsia="Andale Sans UI"/>
          <w:kern w:val="1"/>
        </w:rPr>
        <w:t>o</w:t>
      </w:r>
      <w:r w:rsidR="0088674F" w:rsidRPr="00F419F0">
        <w:rPr>
          <w:rFonts w:eastAsia="Andale Sans UI"/>
          <w:kern w:val="1"/>
        </w:rPr>
        <w:t xml:space="preserve"> zrealizowane  zadani</w:t>
      </w:r>
      <w:r w:rsidR="0088674F">
        <w:rPr>
          <w:rFonts w:eastAsia="Andale Sans UI"/>
          <w:kern w:val="1"/>
        </w:rPr>
        <w:t>e</w:t>
      </w:r>
      <w:r w:rsidR="0088674F" w:rsidRPr="00F419F0">
        <w:rPr>
          <w:rFonts w:eastAsia="Andale Sans UI"/>
          <w:kern w:val="1"/>
        </w:rPr>
        <w:t xml:space="preserve"> inwestycyjne  w ramach Marszałkowskiego Budżetu Obywatelskiego Województwa Śląskiego </w:t>
      </w:r>
      <w:r w:rsidR="0088674F">
        <w:rPr>
          <w:rFonts w:eastAsia="Andale Sans UI"/>
          <w:kern w:val="1"/>
        </w:rPr>
        <w:t>„Zakup aparatów USG do Poradni Ginekologii i Położnictwa i Poradni Ginekologii Wieku Rozwojowego Wojewódzkiego Zakładu Opieki Zdrowotnej nad Matką, Dzieckiem i Młodzieżą z siedzibą w Częstochowie”</w:t>
      </w:r>
      <w:r w:rsidR="0088674F" w:rsidRPr="00F419F0">
        <w:rPr>
          <w:rFonts w:eastAsia="Andale Sans UI"/>
          <w:kern w:val="1"/>
        </w:rPr>
        <w:t>, wartość inwestycji 2</w:t>
      </w:r>
      <w:r w:rsidR="0088674F">
        <w:rPr>
          <w:rFonts w:eastAsia="Andale Sans UI"/>
          <w:kern w:val="1"/>
        </w:rPr>
        <w:t>64 080,00</w:t>
      </w:r>
      <w:r w:rsidR="0088674F" w:rsidRPr="00F419F0">
        <w:rPr>
          <w:rFonts w:eastAsia="Andale Sans UI"/>
          <w:kern w:val="1"/>
        </w:rPr>
        <w:t xml:space="preserve"> zł z czego </w:t>
      </w:r>
      <w:r w:rsidR="0088674F">
        <w:rPr>
          <w:rFonts w:eastAsia="Andale Sans UI"/>
          <w:kern w:val="1"/>
        </w:rPr>
        <w:t>258 086,00</w:t>
      </w:r>
      <w:r w:rsidR="0088674F" w:rsidRPr="00F419F0">
        <w:rPr>
          <w:rFonts w:eastAsia="Andale Sans UI"/>
          <w:kern w:val="1"/>
        </w:rPr>
        <w:t xml:space="preserve"> </w:t>
      </w:r>
      <w:r w:rsidR="0088674F">
        <w:rPr>
          <w:rFonts w:eastAsia="Andale Sans UI"/>
          <w:kern w:val="1"/>
        </w:rPr>
        <w:t xml:space="preserve">zł </w:t>
      </w:r>
      <w:r w:rsidR="0088674F" w:rsidRPr="00F419F0">
        <w:rPr>
          <w:rFonts w:eastAsia="Andale Sans UI"/>
          <w:kern w:val="1"/>
        </w:rPr>
        <w:t xml:space="preserve">stanowi wartość środków Województwa Śląskiego i </w:t>
      </w:r>
      <w:r w:rsidR="0088674F">
        <w:rPr>
          <w:rFonts w:eastAsia="Andale Sans UI"/>
          <w:kern w:val="1"/>
        </w:rPr>
        <w:t>5914,00</w:t>
      </w:r>
      <w:r w:rsidR="0088674F" w:rsidRPr="00F419F0">
        <w:rPr>
          <w:rFonts w:eastAsia="Andale Sans UI"/>
          <w:kern w:val="1"/>
        </w:rPr>
        <w:t xml:space="preserve"> zł wkład własny </w:t>
      </w:r>
      <w:r w:rsidR="0088674F">
        <w:rPr>
          <w:rFonts w:eastAsia="Andale Sans UI"/>
          <w:kern w:val="1"/>
        </w:rPr>
        <w:t>Zakładu.</w:t>
      </w:r>
    </w:p>
    <w:p w14:paraId="06B57708" w14:textId="0CA9C20E" w:rsidR="00CE4A01" w:rsidRPr="00103426" w:rsidRDefault="00F74F01" w:rsidP="0088674F">
      <w:pPr>
        <w:overflowPunct w:val="0"/>
        <w:autoSpaceDE w:val="0"/>
        <w:spacing w:line="360" w:lineRule="auto"/>
        <w:ind w:firstLine="706"/>
        <w:jc w:val="both"/>
        <w:textAlignment w:val="baseline"/>
      </w:pPr>
      <w:r w:rsidRPr="005F1158">
        <w:lastRenderedPageBreak/>
        <w:t>Od 2013 r. w Zakładzie wprowadzony został system zarządzania jakością zgodny z</w:t>
      </w:r>
      <w:r>
        <w:t> </w:t>
      </w:r>
      <w:r w:rsidRPr="005F1158">
        <w:t>normą ISO 9001-2009. Certyfikat wydany przez firmę TŰV Polska Sp. z o.o. obejmuje usługi medyczne ambulatoryjnej opieki specjalistycznej, opieki psychiatrycznej i leczenia uzależnień, rehabilitacji leczniczej, diagnostyki medycznej, w tym radiologicznej</w:t>
      </w:r>
      <w:r>
        <w:t xml:space="preserve"> </w:t>
      </w:r>
      <w:r w:rsidRPr="005F1158">
        <w:t>i</w:t>
      </w:r>
      <w:r>
        <w:t> </w:t>
      </w:r>
      <w:r w:rsidRPr="005F1158">
        <w:t xml:space="preserve">laboratoryjnej. Audyt </w:t>
      </w:r>
      <w:r>
        <w:t>recertyfikujący</w:t>
      </w:r>
      <w:r w:rsidRPr="005F1158">
        <w:t xml:space="preserve"> potwierdzający prawidłowe działanie systemu przeprowadzony został w </w:t>
      </w:r>
      <w:r>
        <w:t>maju 202</w:t>
      </w:r>
      <w:r w:rsidR="0088674F">
        <w:t>3</w:t>
      </w:r>
      <w:r>
        <w:t xml:space="preserve"> </w:t>
      </w:r>
      <w:r w:rsidRPr="005F1158">
        <w:t>r.</w:t>
      </w:r>
    </w:p>
    <w:p w14:paraId="5457BC52" w14:textId="6FA8DAF2" w:rsidR="00DF48BE" w:rsidRDefault="00EF17EE" w:rsidP="00DF48BE">
      <w:pPr>
        <w:spacing w:line="360" w:lineRule="auto"/>
        <w:ind w:firstLine="708"/>
        <w:jc w:val="both"/>
      </w:pPr>
      <w:r w:rsidRPr="00DF48BE">
        <w:t>W roku 202</w:t>
      </w:r>
      <w:r w:rsidR="0088674F">
        <w:t>3</w:t>
      </w:r>
      <w:r w:rsidRPr="00DF48BE">
        <w:t xml:space="preserve"> realizowane były zadania podwyższające standard udzielanych świadczeń zdrowotnych:</w:t>
      </w:r>
      <w:r w:rsidR="00DF48BE" w:rsidRPr="00F77CA9">
        <w:t xml:space="preserve"> </w:t>
      </w:r>
    </w:p>
    <w:p w14:paraId="595ECDC2" w14:textId="77777777" w:rsidR="0088674F" w:rsidRDefault="0088674F" w:rsidP="0088674F">
      <w:pPr>
        <w:spacing w:line="360" w:lineRule="auto"/>
        <w:ind w:left="900"/>
        <w:jc w:val="both"/>
      </w:pPr>
      <w:r>
        <w:t xml:space="preserve">-  </w:t>
      </w:r>
      <w:r w:rsidRPr="00F77A0C">
        <w:t xml:space="preserve">uzyskanie </w:t>
      </w:r>
      <w:proofErr w:type="spellStart"/>
      <w:r w:rsidRPr="00F77A0C">
        <w:t>recertyfikacji</w:t>
      </w:r>
      <w:proofErr w:type="spellEnd"/>
      <w:r w:rsidRPr="00F77A0C">
        <w:t xml:space="preserve"> ISO 9001-2009</w:t>
      </w:r>
      <w:r>
        <w:t>;</w:t>
      </w:r>
    </w:p>
    <w:p w14:paraId="25087D4B" w14:textId="77777777" w:rsidR="0088674F" w:rsidRPr="00F77A0C" w:rsidRDefault="0088674F" w:rsidP="0088674F">
      <w:pPr>
        <w:spacing w:line="360" w:lineRule="auto"/>
        <w:ind w:left="900"/>
        <w:jc w:val="both"/>
      </w:pPr>
      <w:r>
        <w:t xml:space="preserve">- zakup Elektrokardiografu </w:t>
      </w:r>
      <w:proofErr w:type="spellStart"/>
      <w:r>
        <w:t>ASCard</w:t>
      </w:r>
      <w:proofErr w:type="spellEnd"/>
      <w:r>
        <w:t xml:space="preserve"> Grey;</w:t>
      </w:r>
    </w:p>
    <w:p w14:paraId="51BB7CB6" w14:textId="77777777" w:rsidR="0088674F" w:rsidRDefault="0088674F" w:rsidP="0088674F">
      <w:pPr>
        <w:spacing w:after="120" w:line="360" w:lineRule="auto"/>
        <w:ind w:left="567"/>
        <w:jc w:val="both"/>
        <w:textAlignment w:val="baseline"/>
      </w:pPr>
      <w:r>
        <w:t xml:space="preserve">      -  zakup mebli do  pracowni EKG, Poradni Zdrowia Psychicznego, Logopedii, Alergologii;</w:t>
      </w:r>
    </w:p>
    <w:p w14:paraId="20AC437C" w14:textId="6CAE4408" w:rsidR="0088674F" w:rsidRDefault="0088674F" w:rsidP="0088674F">
      <w:pPr>
        <w:spacing w:after="120" w:line="360" w:lineRule="auto"/>
        <w:ind w:left="567"/>
        <w:jc w:val="both"/>
        <w:textAlignment w:val="baseline"/>
      </w:pPr>
      <w:r>
        <w:t xml:space="preserve">  - zakup </w:t>
      </w:r>
      <w:r w:rsidR="00F025AB">
        <w:t xml:space="preserve"> i montaż </w:t>
      </w:r>
      <w:r>
        <w:t>klimatyzacji na potrzeby gabinetów lekarskich;</w:t>
      </w:r>
    </w:p>
    <w:p w14:paraId="0BA5BF12" w14:textId="77777777" w:rsidR="0088674F" w:rsidRDefault="0088674F" w:rsidP="0088674F">
      <w:pPr>
        <w:spacing w:after="120" w:line="360" w:lineRule="auto"/>
        <w:ind w:firstLine="708"/>
        <w:jc w:val="both"/>
        <w:textAlignment w:val="baseline"/>
      </w:pPr>
      <w:r>
        <w:t xml:space="preserve">- zakup 2  aparatów USG; </w:t>
      </w:r>
    </w:p>
    <w:p w14:paraId="709FD2E7" w14:textId="77777777" w:rsidR="0088674F" w:rsidRDefault="0088674F" w:rsidP="0088674F">
      <w:pPr>
        <w:spacing w:after="120" w:line="360" w:lineRule="auto"/>
        <w:ind w:firstLine="708"/>
        <w:jc w:val="both"/>
        <w:textAlignment w:val="baseline"/>
      </w:pPr>
      <w:r>
        <w:t xml:space="preserve">-zakup Licencji </w:t>
      </w:r>
      <w:proofErr w:type="spellStart"/>
      <w:r>
        <w:t>AlleRad</w:t>
      </w:r>
      <w:proofErr w:type="spellEnd"/>
      <w:r>
        <w:t>;</w:t>
      </w:r>
    </w:p>
    <w:p w14:paraId="3E6ADF0E" w14:textId="77777777" w:rsidR="0088674F" w:rsidRDefault="0088674F" w:rsidP="0088674F">
      <w:pPr>
        <w:spacing w:after="120" w:line="360" w:lineRule="auto"/>
        <w:ind w:firstLine="708"/>
        <w:jc w:val="both"/>
        <w:textAlignment w:val="baseline"/>
      </w:pPr>
      <w:r>
        <w:t>-zakup sprzętu wspomagającego rozwiązania organizacyjne;</w:t>
      </w:r>
    </w:p>
    <w:p w14:paraId="7002632F" w14:textId="67606746" w:rsidR="0088674F" w:rsidRDefault="0088674F" w:rsidP="00F025AB">
      <w:pPr>
        <w:spacing w:after="120" w:line="360" w:lineRule="auto"/>
        <w:ind w:firstLine="708"/>
        <w:jc w:val="both"/>
        <w:textAlignment w:val="baseline"/>
      </w:pPr>
      <w:r>
        <w:t>-modernizacja Systemu Medycznego i e-usług</w:t>
      </w:r>
      <w:r w:rsidR="00F025AB">
        <w:t>.</w:t>
      </w:r>
    </w:p>
    <w:p w14:paraId="5DE7B937" w14:textId="3520FD19" w:rsidR="00A96156" w:rsidRPr="00DF48BE" w:rsidRDefault="00A96156" w:rsidP="0088674F">
      <w:pPr>
        <w:spacing w:line="360" w:lineRule="auto"/>
        <w:ind w:firstLine="708"/>
        <w:jc w:val="both"/>
      </w:pPr>
      <w:r w:rsidRPr="00DF48BE">
        <w:t>Kadra medyczna pracująca w WZOZ nad Matką, Dzieckiem i Młodzieżą, udzielająca świadczeń zdrowotnych to w większości osoby z ponad 30 le</w:t>
      </w:r>
      <w:r w:rsidR="007E0A25" w:rsidRPr="00DF48BE">
        <w:t xml:space="preserve">tnim stażem pracy. </w:t>
      </w:r>
      <w:r w:rsidRPr="00DF48BE">
        <w:t>W grupie lekarzy zatrudnienie przedstawia się następująco:</w:t>
      </w:r>
    </w:p>
    <w:p w14:paraId="1DB95118" w14:textId="455BE958" w:rsidR="00A96156" w:rsidRPr="00DF48BE" w:rsidRDefault="00A96156" w:rsidP="00A96156">
      <w:pPr>
        <w:spacing w:line="360" w:lineRule="auto"/>
        <w:jc w:val="both"/>
      </w:pPr>
      <w:r w:rsidRPr="00DF48BE">
        <w:t xml:space="preserve">poniżej 50 r. ż – </w:t>
      </w:r>
      <w:r w:rsidR="00F025AB">
        <w:t>2</w:t>
      </w:r>
      <w:r w:rsidR="00F67BE7" w:rsidRPr="00DF48BE">
        <w:t xml:space="preserve"> </w:t>
      </w:r>
      <w:r w:rsidRPr="00DF48BE">
        <w:t>os</w:t>
      </w:r>
      <w:r w:rsidR="00B635D0">
        <w:t>o</w:t>
      </w:r>
      <w:r w:rsidRPr="00DF48BE">
        <w:t>b</w:t>
      </w:r>
      <w:r w:rsidR="00B635D0">
        <w:t>y</w:t>
      </w:r>
      <w:r w:rsidRPr="00DF48BE">
        <w:t xml:space="preserve">, </w:t>
      </w:r>
      <w:r w:rsidR="002B4952" w:rsidRPr="00DF48BE">
        <w:t xml:space="preserve"> między 50-55r.</w:t>
      </w:r>
      <w:r w:rsidR="00DE0088" w:rsidRPr="00DF48BE">
        <w:t xml:space="preserve"> ż</w:t>
      </w:r>
      <w:r w:rsidR="002B4952" w:rsidRPr="00DF48BE">
        <w:t xml:space="preserve">- </w:t>
      </w:r>
      <w:r w:rsidR="00F025AB">
        <w:t>3</w:t>
      </w:r>
      <w:r w:rsidR="00F67BE7" w:rsidRPr="00DF48BE">
        <w:t xml:space="preserve"> </w:t>
      </w:r>
      <w:r w:rsidR="002B4952" w:rsidRPr="00DF48BE">
        <w:t>os</w:t>
      </w:r>
      <w:r w:rsidR="008B2B60">
        <w:t>ó</w:t>
      </w:r>
      <w:r w:rsidR="00F67BE7" w:rsidRPr="00DF48BE">
        <w:t>b</w:t>
      </w:r>
      <w:r w:rsidR="002B4952" w:rsidRPr="00DF48BE">
        <w:t xml:space="preserve">, </w:t>
      </w:r>
      <w:r w:rsidRPr="00DF48BE">
        <w:t>między 55-60 r.</w:t>
      </w:r>
      <w:r w:rsidR="00F22DF3" w:rsidRPr="00DF48BE">
        <w:t xml:space="preserve"> </w:t>
      </w:r>
      <w:r w:rsidR="002B4952" w:rsidRPr="00DF48BE">
        <w:t xml:space="preserve">ż - </w:t>
      </w:r>
      <w:r w:rsidR="00F025AB">
        <w:t>5</w:t>
      </w:r>
      <w:r w:rsidRPr="00DF48BE">
        <w:t xml:space="preserve"> os</w:t>
      </w:r>
      <w:r w:rsidR="008B2B60">
        <w:t>oby</w:t>
      </w:r>
      <w:r w:rsidRPr="00DF48BE">
        <w:t>, powyżej 60 r. ż</w:t>
      </w:r>
      <w:r w:rsidR="002B4952" w:rsidRPr="00DF48BE">
        <w:t>. 2</w:t>
      </w:r>
      <w:r w:rsidR="00F025AB">
        <w:t>4</w:t>
      </w:r>
      <w:r w:rsidR="00B900C1" w:rsidRPr="00DF48BE">
        <w:t xml:space="preserve"> osób.</w:t>
      </w:r>
    </w:p>
    <w:p w14:paraId="6968BE96" w14:textId="77777777" w:rsidR="00A96156" w:rsidRPr="00DF48BE" w:rsidRDefault="00A96156" w:rsidP="00A96156">
      <w:pPr>
        <w:spacing w:line="360" w:lineRule="auto"/>
        <w:jc w:val="both"/>
      </w:pPr>
      <w:r w:rsidRPr="00DF48BE">
        <w:t>Podobnie wygląda to w przypadku pozostałych pracowników medycznych.</w:t>
      </w:r>
    </w:p>
    <w:p w14:paraId="13E3A743" w14:textId="77777777" w:rsidR="00A96156" w:rsidRPr="00DF48BE" w:rsidRDefault="00A96156" w:rsidP="00A96156">
      <w:pPr>
        <w:spacing w:line="360" w:lineRule="auto"/>
        <w:jc w:val="both"/>
      </w:pPr>
      <w:r w:rsidRPr="00DF48BE">
        <w:t>Jeżeli w najbliższym czasie nie zwiększy się na rynku pracy ilość wyspecjalizowanej kadry medycznej za kilka lat mali pacjenci z rejonu Częstochowy pozostaną bez opieki specjalistycznej, w tym mieście.</w:t>
      </w:r>
    </w:p>
    <w:p w14:paraId="1F947841" w14:textId="36139608" w:rsidR="00137AEB" w:rsidRPr="00021D04" w:rsidRDefault="00A96156" w:rsidP="007E3681">
      <w:pPr>
        <w:pStyle w:val="Default"/>
        <w:spacing w:line="360" w:lineRule="auto"/>
        <w:ind w:firstLine="360"/>
        <w:jc w:val="both"/>
      </w:pPr>
      <w:r w:rsidRPr="00EB0AF7">
        <w:rPr>
          <w:color w:val="FF0000"/>
        </w:rPr>
        <w:tab/>
      </w:r>
      <w:r w:rsidR="00021D04">
        <w:t>Reasumując kondycja finansowa Wojewódzkiego Zakładu Opieki Zdrowotnej nad Matką, Dzieckiem i Młodzieżą w roku 202</w:t>
      </w:r>
      <w:r w:rsidR="00F025AB">
        <w:t>3</w:t>
      </w:r>
      <w:r w:rsidR="00115A7A">
        <w:t xml:space="preserve"> znacznie</w:t>
      </w:r>
      <w:r w:rsidR="00021D04">
        <w:t xml:space="preserve"> poprawiła</w:t>
      </w:r>
      <w:r w:rsidR="00115A7A">
        <w:t xml:space="preserve"> się</w:t>
      </w:r>
      <w:r w:rsidR="003A05FD" w:rsidRPr="003A05FD">
        <w:t xml:space="preserve"> </w:t>
      </w:r>
      <w:r w:rsidR="003A05FD">
        <w:t>mimo rosnących kosztów wynagrodzeń, energii i usług.</w:t>
      </w:r>
      <w:r w:rsidR="000608B6" w:rsidRPr="00521684">
        <w:t xml:space="preserve"> Rok 202</w:t>
      </w:r>
      <w:r w:rsidR="00F025AB">
        <w:t>3</w:t>
      </w:r>
      <w:r w:rsidR="000608B6" w:rsidRPr="00521684">
        <w:t xml:space="preserve"> zakończył się </w:t>
      </w:r>
      <w:r w:rsidR="00B635D0">
        <w:t xml:space="preserve"> dodatnim </w:t>
      </w:r>
      <w:r w:rsidR="009475EB">
        <w:t>wynikiem finansowym</w:t>
      </w:r>
      <w:r w:rsidR="000608B6" w:rsidRPr="00521684">
        <w:t xml:space="preserve"> w wysokości </w:t>
      </w:r>
      <w:r w:rsidR="00F025AB">
        <w:t>523 805,10</w:t>
      </w:r>
      <w:r w:rsidR="000608B6">
        <w:t xml:space="preserve"> zł</w:t>
      </w:r>
      <w:r w:rsidR="00B635D0">
        <w:t>.</w:t>
      </w:r>
      <w:r w:rsidR="000608B6">
        <w:t xml:space="preserve"> </w:t>
      </w:r>
      <w:r w:rsidR="000608B6" w:rsidRPr="00521684">
        <w:t>Jest</w:t>
      </w:r>
      <w:r w:rsidR="007E3681">
        <w:t xml:space="preserve"> </w:t>
      </w:r>
      <w:r w:rsidR="00B635D0">
        <w:t>on</w:t>
      </w:r>
      <w:r w:rsidR="007E3681">
        <w:t xml:space="preserve"> </w:t>
      </w:r>
      <w:r w:rsidR="00B635D0">
        <w:t>skutkiem</w:t>
      </w:r>
      <w:r w:rsidR="000608B6" w:rsidRPr="00521684">
        <w:t xml:space="preserve"> </w:t>
      </w:r>
      <w:r w:rsidR="009475EB" w:rsidRPr="00521684">
        <w:t>wdroż</w:t>
      </w:r>
      <w:r w:rsidR="009475EB">
        <w:t>enia zadań</w:t>
      </w:r>
      <w:r w:rsidR="000608B6" w:rsidRPr="00521684">
        <w:t xml:space="preserve"> program</w:t>
      </w:r>
      <w:r w:rsidR="009475EB">
        <w:t>u</w:t>
      </w:r>
      <w:r w:rsidR="000608B6" w:rsidRPr="00521684">
        <w:t xml:space="preserve"> naprawcz</w:t>
      </w:r>
      <w:r w:rsidR="009475EB">
        <w:t>ego</w:t>
      </w:r>
      <w:r w:rsidR="000608B6" w:rsidRPr="00521684">
        <w:t>, ogranicz</w:t>
      </w:r>
      <w:r w:rsidR="007E3681">
        <w:t>eniem</w:t>
      </w:r>
      <w:r w:rsidR="000608B6" w:rsidRPr="00521684">
        <w:t xml:space="preserve"> zakup</w:t>
      </w:r>
      <w:r w:rsidR="007E3681">
        <w:t>ów</w:t>
      </w:r>
      <w:r w:rsidR="000608B6" w:rsidRPr="00521684">
        <w:t xml:space="preserve"> do niezbędnego minimum, oraz monitor</w:t>
      </w:r>
      <w:r w:rsidR="007E3681">
        <w:t>owania</w:t>
      </w:r>
      <w:r w:rsidR="000608B6" w:rsidRPr="00521684">
        <w:t xml:space="preserve"> wykonani</w:t>
      </w:r>
      <w:r w:rsidR="00F025AB">
        <w:t>a</w:t>
      </w:r>
      <w:r w:rsidR="000608B6" w:rsidRPr="00521684">
        <w:t xml:space="preserve"> umów z NFZ</w:t>
      </w:r>
      <w:r w:rsidR="007E3681">
        <w:t xml:space="preserve"> w celu zwiększenia przychodów. </w:t>
      </w:r>
      <w:r w:rsidR="00C13D20">
        <w:t>W latach następnych kontynuowane będą działania mające na celu dalszą poprawę sytuacji finansowej</w:t>
      </w:r>
      <w:r w:rsidR="001D3F0E">
        <w:t xml:space="preserve"> Zakładu.</w:t>
      </w:r>
    </w:p>
    <w:sectPr w:rsidR="00137AEB" w:rsidRPr="00021D04" w:rsidSect="0046257E">
      <w:pgSz w:w="11906" w:h="16838"/>
      <w:pgMar w:top="993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24A23" w14:textId="77777777" w:rsidR="00AB476F" w:rsidRDefault="00AB476F" w:rsidP="00D87E1A">
      <w:r>
        <w:separator/>
      </w:r>
    </w:p>
  </w:endnote>
  <w:endnote w:type="continuationSeparator" w:id="0">
    <w:p w14:paraId="2834CC39" w14:textId="77777777" w:rsidR="00AB476F" w:rsidRDefault="00AB476F" w:rsidP="00D87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5765630"/>
      <w:docPartObj>
        <w:docPartGallery w:val="Page Numbers (Bottom of Page)"/>
        <w:docPartUnique/>
      </w:docPartObj>
    </w:sdtPr>
    <w:sdtContent>
      <w:p w14:paraId="6A036918" w14:textId="3E4C437F" w:rsidR="00FF7E75" w:rsidRDefault="00FF7E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6A4AD3" w14:textId="77777777" w:rsidR="00783DCD" w:rsidRDefault="00783D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7622578"/>
      <w:docPartObj>
        <w:docPartGallery w:val="Page Numbers (Bottom of Page)"/>
        <w:docPartUnique/>
      </w:docPartObj>
    </w:sdtPr>
    <w:sdtContent>
      <w:p w14:paraId="0FD276B6" w14:textId="0E277307" w:rsidR="00FF7E75" w:rsidRDefault="00FF7E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F31DFE" w14:textId="77777777" w:rsidR="00FF7E75" w:rsidRDefault="00FF7E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2D155" w14:textId="77777777" w:rsidR="00AB476F" w:rsidRDefault="00AB476F" w:rsidP="00D87E1A">
      <w:r>
        <w:separator/>
      </w:r>
    </w:p>
  </w:footnote>
  <w:footnote w:type="continuationSeparator" w:id="0">
    <w:p w14:paraId="5D517E1A" w14:textId="77777777" w:rsidR="00AB476F" w:rsidRDefault="00AB476F" w:rsidP="00D87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6377"/>
        </w:tabs>
        <w:ind w:left="6377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6377"/>
        </w:tabs>
        <w:ind w:left="6377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377"/>
        </w:tabs>
        <w:ind w:left="6377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377"/>
        </w:tabs>
        <w:ind w:left="6377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377"/>
        </w:tabs>
        <w:ind w:left="6377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377"/>
        </w:tabs>
        <w:ind w:left="6377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377"/>
        </w:tabs>
        <w:ind w:left="6377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377"/>
        </w:tabs>
        <w:ind w:left="6377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377"/>
        </w:tabs>
        <w:ind w:left="6377" w:firstLine="0"/>
      </w:pPr>
    </w:lvl>
  </w:abstractNum>
  <w:abstractNum w:abstractNumId="1" w15:restartNumberingAfterBreak="0">
    <w:nsid w:val="10425FDF"/>
    <w:multiLevelType w:val="hybridMultilevel"/>
    <w:tmpl w:val="6F3A6292"/>
    <w:lvl w:ilvl="0" w:tplc="BB2E6376">
      <w:numFmt w:val="bullet"/>
      <w:lvlText w:val="-"/>
      <w:lvlJc w:val="left"/>
      <w:pPr>
        <w:ind w:left="1428" w:hanging="360"/>
      </w:pPr>
      <w:rPr>
        <w:rFonts w:ascii="Symbol" w:eastAsia="Times New Roman" w:hAnsi="Symbol" w:cs="Times New Roman" w:hint="default"/>
        <w:b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01D73AD"/>
    <w:multiLevelType w:val="hybridMultilevel"/>
    <w:tmpl w:val="7F881CC0"/>
    <w:lvl w:ilvl="0" w:tplc="8AE627FC">
      <w:start w:val="1"/>
      <w:numFmt w:val="decimal"/>
      <w:lvlText w:val="%1.2."/>
      <w:lvlJc w:val="left"/>
      <w:pPr>
        <w:ind w:left="2880" w:hanging="360"/>
      </w:pPr>
      <w:rPr>
        <w:rFonts w:hint="default"/>
      </w:rPr>
    </w:lvl>
    <w:lvl w:ilvl="1" w:tplc="8AE627FC">
      <w:start w:val="1"/>
      <w:numFmt w:val="decimal"/>
      <w:lvlText w:val="%2.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B5D6D"/>
    <w:multiLevelType w:val="multilevel"/>
    <w:tmpl w:val="06925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C8D55CC"/>
    <w:multiLevelType w:val="hybridMultilevel"/>
    <w:tmpl w:val="58C03748"/>
    <w:lvl w:ilvl="0" w:tplc="BCEAF294">
      <w:numFmt w:val="bullet"/>
      <w:lvlText w:val="-"/>
      <w:lvlJc w:val="left"/>
      <w:pPr>
        <w:tabs>
          <w:tab w:val="num" w:pos="2505"/>
        </w:tabs>
        <w:ind w:left="2505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9FCE478C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  <w:b w:val="0"/>
        <w:sz w:val="3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627D2D13"/>
    <w:multiLevelType w:val="multilevel"/>
    <w:tmpl w:val="3B0E0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3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D995259"/>
    <w:multiLevelType w:val="hybridMultilevel"/>
    <w:tmpl w:val="CF64A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D7D7C"/>
    <w:multiLevelType w:val="hybridMultilevel"/>
    <w:tmpl w:val="16529D52"/>
    <w:lvl w:ilvl="0" w:tplc="9BD2383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 w15:restartNumberingAfterBreak="0">
    <w:nsid w:val="742B6FB4"/>
    <w:multiLevelType w:val="hybridMultilevel"/>
    <w:tmpl w:val="83527162"/>
    <w:lvl w:ilvl="0" w:tplc="15E2CAE4">
      <w:start w:val="1"/>
      <w:numFmt w:val="decimal"/>
      <w:lvlText w:val="%1)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9FCE478C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  <w:b w:val="0"/>
        <w:sz w:val="3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75D243C6"/>
    <w:multiLevelType w:val="hybridMultilevel"/>
    <w:tmpl w:val="3C8E963A"/>
    <w:lvl w:ilvl="0" w:tplc="3980400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13295273">
    <w:abstractNumId w:val="0"/>
  </w:num>
  <w:num w:numId="2" w16cid:durableId="2080663580">
    <w:abstractNumId w:val="3"/>
  </w:num>
  <w:num w:numId="3" w16cid:durableId="1645815918">
    <w:abstractNumId w:val="5"/>
  </w:num>
  <w:num w:numId="4" w16cid:durableId="150223260">
    <w:abstractNumId w:val="2"/>
  </w:num>
  <w:num w:numId="5" w16cid:durableId="1198811311">
    <w:abstractNumId w:val="6"/>
  </w:num>
  <w:num w:numId="6" w16cid:durableId="780493392">
    <w:abstractNumId w:val="4"/>
  </w:num>
  <w:num w:numId="7" w16cid:durableId="734083657">
    <w:abstractNumId w:val="1"/>
  </w:num>
  <w:num w:numId="8" w16cid:durableId="2046708298">
    <w:abstractNumId w:val="8"/>
  </w:num>
  <w:num w:numId="9" w16cid:durableId="193033752">
    <w:abstractNumId w:val="9"/>
  </w:num>
  <w:num w:numId="10" w16cid:durableId="21113909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ED0"/>
    <w:rsid w:val="00000D77"/>
    <w:rsid w:val="00003F4C"/>
    <w:rsid w:val="00007D6B"/>
    <w:rsid w:val="00010CE6"/>
    <w:rsid w:val="00014E5F"/>
    <w:rsid w:val="00020C76"/>
    <w:rsid w:val="00021D04"/>
    <w:rsid w:val="00022FA3"/>
    <w:rsid w:val="00031A0E"/>
    <w:rsid w:val="000333F6"/>
    <w:rsid w:val="00033B9F"/>
    <w:rsid w:val="000366FE"/>
    <w:rsid w:val="0003761D"/>
    <w:rsid w:val="00042FBD"/>
    <w:rsid w:val="0004393B"/>
    <w:rsid w:val="00044321"/>
    <w:rsid w:val="00044B1B"/>
    <w:rsid w:val="00047AEE"/>
    <w:rsid w:val="000534A8"/>
    <w:rsid w:val="00055D7F"/>
    <w:rsid w:val="000608B6"/>
    <w:rsid w:val="00064F4C"/>
    <w:rsid w:val="000705DB"/>
    <w:rsid w:val="00071C38"/>
    <w:rsid w:val="0007433D"/>
    <w:rsid w:val="0007691B"/>
    <w:rsid w:val="00077D0D"/>
    <w:rsid w:val="0008076E"/>
    <w:rsid w:val="00081F64"/>
    <w:rsid w:val="0008351E"/>
    <w:rsid w:val="0008363F"/>
    <w:rsid w:val="00084AD1"/>
    <w:rsid w:val="000858E2"/>
    <w:rsid w:val="0008732F"/>
    <w:rsid w:val="0009278E"/>
    <w:rsid w:val="00093E23"/>
    <w:rsid w:val="000A146F"/>
    <w:rsid w:val="000A18E4"/>
    <w:rsid w:val="000A2098"/>
    <w:rsid w:val="000A2927"/>
    <w:rsid w:val="000A45F1"/>
    <w:rsid w:val="000B609C"/>
    <w:rsid w:val="000C54A7"/>
    <w:rsid w:val="000C7B33"/>
    <w:rsid w:val="000D15F6"/>
    <w:rsid w:val="000D2B8D"/>
    <w:rsid w:val="000D317C"/>
    <w:rsid w:val="000D42FB"/>
    <w:rsid w:val="000D6EDC"/>
    <w:rsid w:val="000D6FCD"/>
    <w:rsid w:val="000E2556"/>
    <w:rsid w:val="000E32D0"/>
    <w:rsid w:val="000E439C"/>
    <w:rsid w:val="000E569E"/>
    <w:rsid w:val="000F0435"/>
    <w:rsid w:val="000F1127"/>
    <w:rsid w:val="000F3CB2"/>
    <w:rsid w:val="000F4C0B"/>
    <w:rsid w:val="000F6319"/>
    <w:rsid w:val="000F65DA"/>
    <w:rsid w:val="00103426"/>
    <w:rsid w:val="00105F7A"/>
    <w:rsid w:val="00113481"/>
    <w:rsid w:val="00115A7A"/>
    <w:rsid w:val="001169E7"/>
    <w:rsid w:val="00120C9C"/>
    <w:rsid w:val="00120F0A"/>
    <w:rsid w:val="00124981"/>
    <w:rsid w:val="00124ACC"/>
    <w:rsid w:val="00124C32"/>
    <w:rsid w:val="00124C85"/>
    <w:rsid w:val="00133199"/>
    <w:rsid w:val="00134073"/>
    <w:rsid w:val="00134267"/>
    <w:rsid w:val="001345B2"/>
    <w:rsid w:val="001345DB"/>
    <w:rsid w:val="00134EC4"/>
    <w:rsid w:val="00137941"/>
    <w:rsid w:val="00137AEB"/>
    <w:rsid w:val="001405CA"/>
    <w:rsid w:val="00145C4B"/>
    <w:rsid w:val="00147259"/>
    <w:rsid w:val="00150106"/>
    <w:rsid w:val="001531AA"/>
    <w:rsid w:val="00157F8B"/>
    <w:rsid w:val="00160743"/>
    <w:rsid w:val="00166935"/>
    <w:rsid w:val="00170A43"/>
    <w:rsid w:val="0017102C"/>
    <w:rsid w:val="00173F64"/>
    <w:rsid w:val="001775E6"/>
    <w:rsid w:val="00177887"/>
    <w:rsid w:val="001802DF"/>
    <w:rsid w:val="00181112"/>
    <w:rsid w:val="00182D24"/>
    <w:rsid w:val="00183CAF"/>
    <w:rsid w:val="00183E02"/>
    <w:rsid w:val="00184349"/>
    <w:rsid w:val="00185A65"/>
    <w:rsid w:val="0019329F"/>
    <w:rsid w:val="00193B0E"/>
    <w:rsid w:val="001A0FE4"/>
    <w:rsid w:val="001B1089"/>
    <w:rsid w:val="001B1115"/>
    <w:rsid w:val="001B32D2"/>
    <w:rsid w:val="001B4690"/>
    <w:rsid w:val="001B47AC"/>
    <w:rsid w:val="001B6972"/>
    <w:rsid w:val="001B7DC0"/>
    <w:rsid w:val="001C38F9"/>
    <w:rsid w:val="001C3AEB"/>
    <w:rsid w:val="001C7974"/>
    <w:rsid w:val="001D3F0E"/>
    <w:rsid w:val="001D3F2B"/>
    <w:rsid w:val="001E2265"/>
    <w:rsid w:val="001E2F08"/>
    <w:rsid w:val="001E3452"/>
    <w:rsid w:val="001E4170"/>
    <w:rsid w:val="001E684C"/>
    <w:rsid w:val="001F4109"/>
    <w:rsid w:val="001F4AFB"/>
    <w:rsid w:val="001F7EFE"/>
    <w:rsid w:val="00210C1A"/>
    <w:rsid w:val="0021352C"/>
    <w:rsid w:val="00220272"/>
    <w:rsid w:val="00221B3F"/>
    <w:rsid w:val="00221E0D"/>
    <w:rsid w:val="00224023"/>
    <w:rsid w:val="0023133A"/>
    <w:rsid w:val="002316FB"/>
    <w:rsid w:val="00236F95"/>
    <w:rsid w:val="002435D6"/>
    <w:rsid w:val="00243949"/>
    <w:rsid w:val="00244E6E"/>
    <w:rsid w:val="002505ED"/>
    <w:rsid w:val="002511A5"/>
    <w:rsid w:val="002568F5"/>
    <w:rsid w:val="00265FB0"/>
    <w:rsid w:val="0027563C"/>
    <w:rsid w:val="00275BD7"/>
    <w:rsid w:val="002776EA"/>
    <w:rsid w:val="00281A9D"/>
    <w:rsid w:val="00281D90"/>
    <w:rsid w:val="00281D91"/>
    <w:rsid w:val="00283C09"/>
    <w:rsid w:val="00285369"/>
    <w:rsid w:val="00294DE3"/>
    <w:rsid w:val="00295D1A"/>
    <w:rsid w:val="002962F6"/>
    <w:rsid w:val="002A3D67"/>
    <w:rsid w:val="002A4AAD"/>
    <w:rsid w:val="002A4C96"/>
    <w:rsid w:val="002B31BF"/>
    <w:rsid w:val="002B4952"/>
    <w:rsid w:val="002B5BC6"/>
    <w:rsid w:val="002C4168"/>
    <w:rsid w:val="002D1AFD"/>
    <w:rsid w:val="002D3343"/>
    <w:rsid w:val="002D4D9D"/>
    <w:rsid w:val="002D7A5C"/>
    <w:rsid w:val="002E03E0"/>
    <w:rsid w:val="002E1019"/>
    <w:rsid w:val="002E543A"/>
    <w:rsid w:val="00300547"/>
    <w:rsid w:val="0030466A"/>
    <w:rsid w:val="0030737A"/>
    <w:rsid w:val="00314B90"/>
    <w:rsid w:val="003159B0"/>
    <w:rsid w:val="00323DA9"/>
    <w:rsid w:val="00326236"/>
    <w:rsid w:val="0032639D"/>
    <w:rsid w:val="00327220"/>
    <w:rsid w:val="003313AB"/>
    <w:rsid w:val="00334143"/>
    <w:rsid w:val="0033433B"/>
    <w:rsid w:val="00337CE1"/>
    <w:rsid w:val="00337E93"/>
    <w:rsid w:val="00342FC7"/>
    <w:rsid w:val="00344D30"/>
    <w:rsid w:val="00347FD4"/>
    <w:rsid w:val="00351161"/>
    <w:rsid w:val="0035215E"/>
    <w:rsid w:val="00354731"/>
    <w:rsid w:val="00357F9E"/>
    <w:rsid w:val="00360DB8"/>
    <w:rsid w:val="00360E7A"/>
    <w:rsid w:val="003621B0"/>
    <w:rsid w:val="00363D39"/>
    <w:rsid w:val="00364431"/>
    <w:rsid w:val="00364648"/>
    <w:rsid w:val="00366068"/>
    <w:rsid w:val="00371770"/>
    <w:rsid w:val="00380862"/>
    <w:rsid w:val="00380C20"/>
    <w:rsid w:val="00381F85"/>
    <w:rsid w:val="0038206C"/>
    <w:rsid w:val="003829F2"/>
    <w:rsid w:val="00382DB6"/>
    <w:rsid w:val="00394F3E"/>
    <w:rsid w:val="00396BAE"/>
    <w:rsid w:val="00396BC5"/>
    <w:rsid w:val="00397B7F"/>
    <w:rsid w:val="003A05FD"/>
    <w:rsid w:val="003A60AC"/>
    <w:rsid w:val="003B12DE"/>
    <w:rsid w:val="003C43AE"/>
    <w:rsid w:val="003C7D6C"/>
    <w:rsid w:val="003D0BC4"/>
    <w:rsid w:val="003D214E"/>
    <w:rsid w:val="003D341A"/>
    <w:rsid w:val="003D3E93"/>
    <w:rsid w:val="003D4058"/>
    <w:rsid w:val="003D43FD"/>
    <w:rsid w:val="003E0AAF"/>
    <w:rsid w:val="003E260D"/>
    <w:rsid w:val="003E409D"/>
    <w:rsid w:val="003E4DDC"/>
    <w:rsid w:val="003E52F7"/>
    <w:rsid w:val="003E5B9C"/>
    <w:rsid w:val="003F1B4B"/>
    <w:rsid w:val="003F45BD"/>
    <w:rsid w:val="003F4E59"/>
    <w:rsid w:val="003F6753"/>
    <w:rsid w:val="003F74CE"/>
    <w:rsid w:val="0040237D"/>
    <w:rsid w:val="004041E2"/>
    <w:rsid w:val="00404B5D"/>
    <w:rsid w:val="00406EF7"/>
    <w:rsid w:val="004076A4"/>
    <w:rsid w:val="00410BF7"/>
    <w:rsid w:val="00410D35"/>
    <w:rsid w:val="00413330"/>
    <w:rsid w:val="00416069"/>
    <w:rsid w:val="00417CA8"/>
    <w:rsid w:val="00426535"/>
    <w:rsid w:val="0042691A"/>
    <w:rsid w:val="00426A13"/>
    <w:rsid w:val="00430E4A"/>
    <w:rsid w:val="00434F7C"/>
    <w:rsid w:val="00440AD2"/>
    <w:rsid w:val="004422E0"/>
    <w:rsid w:val="00446921"/>
    <w:rsid w:val="0044753C"/>
    <w:rsid w:val="00450480"/>
    <w:rsid w:val="00450B07"/>
    <w:rsid w:val="00453C91"/>
    <w:rsid w:val="00454663"/>
    <w:rsid w:val="00457318"/>
    <w:rsid w:val="00460064"/>
    <w:rsid w:val="0046257E"/>
    <w:rsid w:val="0046358E"/>
    <w:rsid w:val="004653B7"/>
    <w:rsid w:val="00471176"/>
    <w:rsid w:val="0047347A"/>
    <w:rsid w:val="00475324"/>
    <w:rsid w:val="00475FC4"/>
    <w:rsid w:val="00482677"/>
    <w:rsid w:val="00487849"/>
    <w:rsid w:val="00493503"/>
    <w:rsid w:val="00494701"/>
    <w:rsid w:val="00494E8B"/>
    <w:rsid w:val="00496298"/>
    <w:rsid w:val="00497F61"/>
    <w:rsid w:val="004A4637"/>
    <w:rsid w:val="004A4655"/>
    <w:rsid w:val="004B2E17"/>
    <w:rsid w:val="004B5FE0"/>
    <w:rsid w:val="004C42A6"/>
    <w:rsid w:val="004C55C6"/>
    <w:rsid w:val="004C5F3F"/>
    <w:rsid w:val="004D4211"/>
    <w:rsid w:val="004D59A3"/>
    <w:rsid w:val="004D610B"/>
    <w:rsid w:val="004D6ADF"/>
    <w:rsid w:val="004E0C8C"/>
    <w:rsid w:val="004E2BEB"/>
    <w:rsid w:val="004E3BD6"/>
    <w:rsid w:val="004E5722"/>
    <w:rsid w:val="004E7911"/>
    <w:rsid w:val="004E79CC"/>
    <w:rsid w:val="004F082F"/>
    <w:rsid w:val="004F1C38"/>
    <w:rsid w:val="004F4D04"/>
    <w:rsid w:val="004F67D9"/>
    <w:rsid w:val="00501DB2"/>
    <w:rsid w:val="00506684"/>
    <w:rsid w:val="00506BFA"/>
    <w:rsid w:val="005076FA"/>
    <w:rsid w:val="005105AE"/>
    <w:rsid w:val="0051113E"/>
    <w:rsid w:val="00511CDE"/>
    <w:rsid w:val="00512B2B"/>
    <w:rsid w:val="00514CE6"/>
    <w:rsid w:val="005164F9"/>
    <w:rsid w:val="005167FC"/>
    <w:rsid w:val="00520D4F"/>
    <w:rsid w:val="005231E8"/>
    <w:rsid w:val="00524B1A"/>
    <w:rsid w:val="00525F36"/>
    <w:rsid w:val="00531534"/>
    <w:rsid w:val="005316DB"/>
    <w:rsid w:val="00551D33"/>
    <w:rsid w:val="00555D8C"/>
    <w:rsid w:val="005565FE"/>
    <w:rsid w:val="00563308"/>
    <w:rsid w:val="00567771"/>
    <w:rsid w:val="005703A5"/>
    <w:rsid w:val="00572836"/>
    <w:rsid w:val="00575CF4"/>
    <w:rsid w:val="00582503"/>
    <w:rsid w:val="00582968"/>
    <w:rsid w:val="00583878"/>
    <w:rsid w:val="00585B2E"/>
    <w:rsid w:val="00586DEF"/>
    <w:rsid w:val="00594D62"/>
    <w:rsid w:val="00595BC4"/>
    <w:rsid w:val="00597C29"/>
    <w:rsid w:val="005A00FE"/>
    <w:rsid w:val="005B11F9"/>
    <w:rsid w:val="005B4A17"/>
    <w:rsid w:val="005B548B"/>
    <w:rsid w:val="005B6500"/>
    <w:rsid w:val="005C19B8"/>
    <w:rsid w:val="005C49F1"/>
    <w:rsid w:val="005C5323"/>
    <w:rsid w:val="005D7983"/>
    <w:rsid w:val="005E0D68"/>
    <w:rsid w:val="005E7E42"/>
    <w:rsid w:val="005F30BB"/>
    <w:rsid w:val="005F3AAB"/>
    <w:rsid w:val="005F51E4"/>
    <w:rsid w:val="006011F4"/>
    <w:rsid w:val="00601841"/>
    <w:rsid w:val="00601B55"/>
    <w:rsid w:val="00601C9F"/>
    <w:rsid w:val="00601FA9"/>
    <w:rsid w:val="006069A9"/>
    <w:rsid w:val="00613201"/>
    <w:rsid w:val="00613A3D"/>
    <w:rsid w:val="00614760"/>
    <w:rsid w:val="0061581E"/>
    <w:rsid w:val="00617E71"/>
    <w:rsid w:val="00620EC3"/>
    <w:rsid w:val="00621F75"/>
    <w:rsid w:val="00623148"/>
    <w:rsid w:val="00625470"/>
    <w:rsid w:val="00626F7D"/>
    <w:rsid w:val="00634977"/>
    <w:rsid w:val="006353DC"/>
    <w:rsid w:val="00641BC0"/>
    <w:rsid w:val="00642287"/>
    <w:rsid w:val="00642504"/>
    <w:rsid w:val="006434AE"/>
    <w:rsid w:val="006434EA"/>
    <w:rsid w:val="00650DA8"/>
    <w:rsid w:val="00654E7F"/>
    <w:rsid w:val="0065598A"/>
    <w:rsid w:val="006560F5"/>
    <w:rsid w:val="006566F3"/>
    <w:rsid w:val="00656E60"/>
    <w:rsid w:val="00657AD7"/>
    <w:rsid w:val="00667282"/>
    <w:rsid w:val="00672F0C"/>
    <w:rsid w:val="00677399"/>
    <w:rsid w:val="00680AD1"/>
    <w:rsid w:val="006812F1"/>
    <w:rsid w:val="006819D5"/>
    <w:rsid w:val="00681D58"/>
    <w:rsid w:val="006857E2"/>
    <w:rsid w:val="006863B5"/>
    <w:rsid w:val="00686BFF"/>
    <w:rsid w:val="00686EFA"/>
    <w:rsid w:val="00695064"/>
    <w:rsid w:val="006A1DF7"/>
    <w:rsid w:val="006A2AFF"/>
    <w:rsid w:val="006A5A29"/>
    <w:rsid w:val="006A64D8"/>
    <w:rsid w:val="006A6A51"/>
    <w:rsid w:val="006A7D5D"/>
    <w:rsid w:val="006B0B6B"/>
    <w:rsid w:val="006B14DA"/>
    <w:rsid w:val="006B1630"/>
    <w:rsid w:val="006B5E6A"/>
    <w:rsid w:val="006C3403"/>
    <w:rsid w:val="006C34B6"/>
    <w:rsid w:val="006C5A70"/>
    <w:rsid w:val="006C6B08"/>
    <w:rsid w:val="006D2E7E"/>
    <w:rsid w:val="006D50E8"/>
    <w:rsid w:val="006D5CEB"/>
    <w:rsid w:val="006D7B23"/>
    <w:rsid w:val="006E02F2"/>
    <w:rsid w:val="006E086C"/>
    <w:rsid w:val="006E0B83"/>
    <w:rsid w:val="006E2137"/>
    <w:rsid w:val="006E4D7F"/>
    <w:rsid w:val="006E59F6"/>
    <w:rsid w:val="006E62DD"/>
    <w:rsid w:val="006E73FC"/>
    <w:rsid w:val="006E7D0C"/>
    <w:rsid w:val="006F3588"/>
    <w:rsid w:val="006F37F4"/>
    <w:rsid w:val="006F4935"/>
    <w:rsid w:val="006F642B"/>
    <w:rsid w:val="006F658B"/>
    <w:rsid w:val="006F7795"/>
    <w:rsid w:val="0070032B"/>
    <w:rsid w:val="007020E9"/>
    <w:rsid w:val="007049F6"/>
    <w:rsid w:val="0070578A"/>
    <w:rsid w:val="00707893"/>
    <w:rsid w:val="00710686"/>
    <w:rsid w:val="00713E4D"/>
    <w:rsid w:val="00720A06"/>
    <w:rsid w:val="007306C2"/>
    <w:rsid w:val="00731548"/>
    <w:rsid w:val="00731AB1"/>
    <w:rsid w:val="0073269D"/>
    <w:rsid w:val="0074279B"/>
    <w:rsid w:val="00746B3D"/>
    <w:rsid w:val="007473FC"/>
    <w:rsid w:val="0074760F"/>
    <w:rsid w:val="00747CFA"/>
    <w:rsid w:val="007510FC"/>
    <w:rsid w:val="00751A8C"/>
    <w:rsid w:val="007526FF"/>
    <w:rsid w:val="00753BFD"/>
    <w:rsid w:val="00756607"/>
    <w:rsid w:val="00756FC5"/>
    <w:rsid w:val="00760763"/>
    <w:rsid w:val="00760B07"/>
    <w:rsid w:val="00761340"/>
    <w:rsid w:val="00762E8C"/>
    <w:rsid w:val="007634EF"/>
    <w:rsid w:val="0076443F"/>
    <w:rsid w:val="0077243E"/>
    <w:rsid w:val="00772DB1"/>
    <w:rsid w:val="00775360"/>
    <w:rsid w:val="00776A04"/>
    <w:rsid w:val="007807C2"/>
    <w:rsid w:val="00783DCD"/>
    <w:rsid w:val="0078539D"/>
    <w:rsid w:val="00785A38"/>
    <w:rsid w:val="00786407"/>
    <w:rsid w:val="00787890"/>
    <w:rsid w:val="007927CA"/>
    <w:rsid w:val="00792944"/>
    <w:rsid w:val="0079371C"/>
    <w:rsid w:val="007A5FAE"/>
    <w:rsid w:val="007A6F21"/>
    <w:rsid w:val="007B00CA"/>
    <w:rsid w:val="007B1C61"/>
    <w:rsid w:val="007B7081"/>
    <w:rsid w:val="007C0375"/>
    <w:rsid w:val="007C05B0"/>
    <w:rsid w:val="007C0BFE"/>
    <w:rsid w:val="007C0D4A"/>
    <w:rsid w:val="007C5B13"/>
    <w:rsid w:val="007C5D67"/>
    <w:rsid w:val="007C7FFA"/>
    <w:rsid w:val="007D4476"/>
    <w:rsid w:val="007D591D"/>
    <w:rsid w:val="007D7323"/>
    <w:rsid w:val="007D7983"/>
    <w:rsid w:val="007D7A32"/>
    <w:rsid w:val="007E0A25"/>
    <w:rsid w:val="007E2675"/>
    <w:rsid w:val="007E3681"/>
    <w:rsid w:val="007F1DC3"/>
    <w:rsid w:val="007F26AE"/>
    <w:rsid w:val="007F2A92"/>
    <w:rsid w:val="007F3571"/>
    <w:rsid w:val="00800F99"/>
    <w:rsid w:val="008035C7"/>
    <w:rsid w:val="0080384A"/>
    <w:rsid w:val="008053D2"/>
    <w:rsid w:val="00806CB1"/>
    <w:rsid w:val="0081069C"/>
    <w:rsid w:val="00812D94"/>
    <w:rsid w:val="00813B95"/>
    <w:rsid w:val="008141CE"/>
    <w:rsid w:val="00816E9E"/>
    <w:rsid w:val="00821362"/>
    <w:rsid w:val="008227BA"/>
    <w:rsid w:val="00826A27"/>
    <w:rsid w:val="00827B42"/>
    <w:rsid w:val="008303EE"/>
    <w:rsid w:val="00831AD9"/>
    <w:rsid w:val="00832F5F"/>
    <w:rsid w:val="00836D22"/>
    <w:rsid w:val="0084148E"/>
    <w:rsid w:val="008458D3"/>
    <w:rsid w:val="00847FBF"/>
    <w:rsid w:val="00851358"/>
    <w:rsid w:val="008526CA"/>
    <w:rsid w:val="008555A3"/>
    <w:rsid w:val="00860B9B"/>
    <w:rsid w:val="00864167"/>
    <w:rsid w:val="00864579"/>
    <w:rsid w:val="00865D5F"/>
    <w:rsid w:val="00871C60"/>
    <w:rsid w:val="00873659"/>
    <w:rsid w:val="00877756"/>
    <w:rsid w:val="008833CB"/>
    <w:rsid w:val="008839A4"/>
    <w:rsid w:val="0088435B"/>
    <w:rsid w:val="00885ED0"/>
    <w:rsid w:val="008865A8"/>
    <w:rsid w:val="0088674F"/>
    <w:rsid w:val="00893FFE"/>
    <w:rsid w:val="008948A6"/>
    <w:rsid w:val="00895049"/>
    <w:rsid w:val="008A367C"/>
    <w:rsid w:val="008A48CB"/>
    <w:rsid w:val="008A6506"/>
    <w:rsid w:val="008A6556"/>
    <w:rsid w:val="008B027B"/>
    <w:rsid w:val="008B0EA1"/>
    <w:rsid w:val="008B0F8E"/>
    <w:rsid w:val="008B2598"/>
    <w:rsid w:val="008B2B60"/>
    <w:rsid w:val="008C1020"/>
    <w:rsid w:val="008C20E1"/>
    <w:rsid w:val="008C299A"/>
    <w:rsid w:val="008C3820"/>
    <w:rsid w:val="008D02E6"/>
    <w:rsid w:val="008D0CE3"/>
    <w:rsid w:val="008D1C75"/>
    <w:rsid w:val="008D77FF"/>
    <w:rsid w:val="008E0F11"/>
    <w:rsid w:val="008E419C"/>
    <w:rsid w:val="008E53CB"/>
    <w:rsid w:val="008F16D3"/>
    <w:rsid w:val="008F42CC"/>
    <w:rsid w:val="008F4651"/>
    <w:rsid w:val="008F4997"/>
    <w:rsid w:val="00900C00"/>
    <w:rsid w:val="0090631E"/>
    <w:rsid w:val="00907E34"/>
    <w:rsid w:val="00910378"/>
    <w:rsid w:val="00911FCE"/>
    <w:rsid w:val="0091248B"/>
    <w:rsid w:val="00914458"/>
    <w:rsid w:val="009260E0"/>
    <w:rsid w:val="00926736"/>
    <w:rsid w:val="00931F26"/>
    <w:rsid w:val="009321F7"/>
    <w:rsid w:val="00932D76"/>
    <w:rsid w:val="00933A46"/>
    <w:rsid w:val="00934116"/>
    <w:rsid w:val="0093413B"/>
    <w:rsid w:val="00940A01"/>
    <w:rsid w:val="00942C84"/>
    <w:rsid w:val="00945B9D"/>
    <w:rsid w:val="009475EB"/>
    <w:rsid w:val="00950070"/>
    <w:rsid w:val="00952381"/>
    <w:rsid w:val="00960FDE"/>
    <w:rsid w:val="009629D3"/>
    <w:rsid w:val="00963B1B"/>
    <w:rsid w:val="00964ED9"/>
    <w:rsid w:val="009657EF"/>
    <w:rsid w:val="0096713D"/>
    <w:rsid w:val="00972361"/>
    <w:rsid w:val="00972779"/>
    <w:rsid w:val="0097329F"/>
    <w:rsid w:val="00977E60"/>
    <w:rsid w:val="00980501"/>
    <w:rsid w:val="00984C3A"/>
    <w:rsid w:val="009936F9"/>
    <w:rsid w:val="00994E7A"/>
    <w:rsid w:val="009A0E52"/>
    <w:rsid w:val="009A245C"/>
    <w:rsid w:val="009A34E3"/>
    <w:rsid w:val="009A4843"/>
    <w:rsid w:val="009A70F4"/>
    <w:rsid w:val="009B09FD"/>
    <w:rsid w:val="009B13D0"/>
    <w:rsid w:val="009B2C39"/>
    <w:rsid w:val="009B7585"/>
    <w:rsid w:val="009B7816"/>
    <w:rsid w:val="009C1428"/>
    <w:rsid w:val="009C4E6B"/>
    <w:rsid w:val="009C6C45"/>
    <w:rsid w:val="009C7043"/>
    <w:rsid w:val="009C744E"/>
    <w:rsid w:val="009D476F"/>
    <w:rsid w:val="009E454F"/>
    <w:rsid w:val="009E4D28"/>
    <w:rsid w:val="009E4E9D"/>
    <w:rsid w:val="009E7E29"/>
    <w:rsid w:val="009F2372"/>
    <w:rsid w:val="00A034B1"/>
    <w:rsid w:val="00A041DE"/>
    <w:rsid w:val="00A06219"/>
    <w:rsid w:val="00A11C2E"/>
    <w:rsid w:val="00A1524D"/>
    <w:rsid w:val="00A15A36"/>
    <w:rsid w:val="00A15D79"/>
    <w:rsid w:val="00A21CED"/>
    <w:rsid w:val="00A224E2"/>
    <w:rsid w:val="00A245F6"/>
    <w:rsid w:val="00A24E1C"/>
    <w:rsid w:val="00A26034"/>
    <w:rsid w:val="00A33A07"/>
    <w:rsid w:val="00A35691"/>
    <w:rsid w:val="00A361EF"/>
    <w:rsid w:val="00A41894"/>
    <w:rsid w:val="00A5111D"/>
    <w:rsid w:val="00A5361F"/>
    <w:rsid w:val="00A5453A"/>
    <w:rsid w:val="00A54B6E"/>
    <w:rsid w:val="00A55396"/>
    <w:rsid w:val="00A55763"/>
    <w:rsid w:val="00A620A8"/>
    <w:rsid w:val="00A645D5"/>
    <w:rsid w:val="00A66BAB"/>
    <w:rsid w:val="00A67BA8"/>
    <w:rsid w:val="00A700CC"/>
    <w:rsid w:val="00A70AC2"/>
    <w:rsid w:val="00A80364"/>
    <w:rsid w:val="00A80502"/>
    <w:rsid w:val="00A81CCD"/>
    <w:rsid w:val="00A8290B"/>
    <w:rsid w:val="00A93D20"/>
    <w:rsid w:val="00A94F4C"/>
    <w:rsid w:val="00A957AB"/>
    <w:rsid w:val="00A96156"/>
    <w:rsid w:val="00A9628A"/>
    <w:rsid w:val="00AA0C24"/>
    <w:rsid w:val="00AA3A69"/>
    <w:rsid w:val="00AA4692"/>
    <w:rsid w:val="00AA575B"/>
    <w:rsid w:val="00AB08CB"/>
    <w:rsid w:val="00AB476F"/>
    <w:rsid w:val="00AB5B85"/>
    <w:rsid w:val="00AB5F4A"/>
    <w:rsid w:val="00AC3A9E"/>
    <w:rsid w:val="00AC3E69"/>
    <w:rsid w:val="00AC741E"/>
    <w:rsid w:val="00AC761B"/>
    <w:rsid w:val="00AD20FB"/>
    <w:rsid w:val="00AD55B1"/>
    <w:rsid w:val="00AD6C7B"/>
    <w:rsid w:val="00AD7858"/>
    <w:rsid w:val="00AE3161"/>
    <w:rsid w:val="00AE604F"/>
    <w:rsid w:val="00AE63C3"/>
    <w:rsid w:val="00AF13B9"/>
    <w:rsid w:val="00AF490E"/>
    <w:rsid w:val="00AF5906"/>
    <w:rsid w:val="00B02F3A"/>
    <w:rsid w:val="00B033EF"/>
    <w:rsid w:val="00B1335A"/>
    <w:rsid w:val="00B1572E"/>
    <w:rsid w:val="00B161DE"/>
    <w:rsid w:val="00B16609"/>
    <w:rsid w:val="00B1734F"/>
    <w:rsid w:val="00B235D0"/>
    <w:rsid w:val="00B26BD5"/>
    <w:rsid w:val="00B310FA"/>
    <w:rsid w:val="00B33EA4"/>
    <w:rsid w:val="00B35BEC"/>
    <w:rsid w:val="00B404E7"/>
    <w:rsid w:val="00B43B8A"/>
    <w:rsid w:val="00B451EF"/>
    <w:rsid w:val="00B500AC"/>
    <w:rsid w:val="00B52E1A"/>
    <w:rsid w:val="00B607D1"/>
    <w:rsid w:val="00B635D0"/>
    <w:rsid w:val="00B640BA"/>
    <w:rsid w:val="00B66902"/>
    <w:rsid w:val="00B66EE5"/>
    <w:rsid w:val="00B7577B"/>
    <w:rsid w:val="00B76F40"/>
    <w:rsid w:val="00B76FB6"/>
    <w:rsid w:val="00B7748A"/>
    <w:rsid w:val="00B8049F"/>
    <w:rsid w:val="00B80B37"/>
    <w:rsid w:val="00B836FA"/>
    <w:rsid w:val="00B8450F"/>
    <w:rsid w:val="00B8480A"/>
    <w:rsid w:val="00B900C1"/>
    <w:rsid w:val="00B91922"/>
    <w:rsid w:val="00BA17D2"/>
    <w:rsid w:val="00BA31FE"/>
    <w:rsid w:val="00BB059F"/>
    <w:rsid w:val="00BB21F3"/>
    <w:rsid w:val="00BB3E46"/>
    <w:rsid w:val="00BB42E9"/>
    <w:rsid w:val="00BB4A37"/>
    <w:rsid w:val="00BB52F4"/>
    <w:rsid w:val="00BB75D5"/>
    <w:rsid w:val="00BC03C8"/>
    <w:rsid w:val="00BC17AC"/>
    <w:rsid w:val="00BC65A2"/>
    <w:rsid w:val="00BC68A0"/>
    <w:rsid w:val="00BE525A"/>
    <w:rsid w:val="00BF11D7"/>
    <w:rsid w:val="00BF6E84"/>
    <w:rsid w:val="00BF7682"/>
    <w:rsid w:val="00C00508"/>
    <w:rsid w:val="00C00B3C"/>
    <w:rsid w:val="00C01AE0"/>
    <w:rsid w:val="00C020D7"/>
    <w:rsid w:val="00C02339"/>
    <w:rsid w:val="00C04828"/>
    <w:rsid w:val="00C07603"/>
    <w:rsid w:val="00C10B34"/>
    <w:rsid w:val="00C11628"/>
    <w:rsid w:val="00C11D69"/>
    <w:rsid w:val="00C12554"/>
    <w:rsid w:val="00C12DB5"/>
    <w:rsid w:val="00C13D20"/>
    <w:rsid w:val="00C1530A"/>
    <w:rsid w:val="00C1784F"/>
    <w:rsid w:val="00C2196C"/>
    <w:rsid w:val="00C224FC"/>
    <w:rsid w:val="00C22627"/>
    <w:rsid w:val="00C25406"/>
    <w:rsid w:val="00C2606A"/>
    <w:rsid w:val="00C330BE"/>
    <w:rsid w:val="00C33B4C"/>
    <w:rsid w:val="00C36678"/>
    <w:rsid w:val="00C36BC5"/>
    <w:rsid w:val="00C37897"/>
    <w:rsid w:val="00C42A39"/>
    <w:rsid w:val="00C43D26"/>
    <w:rsid w:val="00C55C3C"/>
    <w:rsid w:val="00C57488"/>
    <w:rsid w:val="00C604D5"/>
    <w:rsid w:val="00C61303"/>
    <w:rsid w:val="00C6135D"/>
    <w:rsid w:val="00C72EB7"/>
    <w:rsid w:val="00C73414"/>
    <w:rsid w:val="00C73A79"/>
    <w:rsid w:val="00C810F0"/>
    <w:rsid w:val="00C83E11"/>
    <w:rsid w:val="00C842BA"/>
    <w:rsid w:val="00C86B1D"/>
    <w:rsid w:val="00C90475"/>
    <w:rsid w:val="00C9125F"/>
    <w:rsid w:val="00C936A1"/>
    <w:rsid w:val="00C9516D"/>
    <w:rsid w:val="00C95A55"/>
    <w:rsid w:val="00C95C28"/>
    <w:rsid w:val="00C95E25"/>
    <w:rsid w:val="00CA0813"/>
    <w:rsid w:val="00CA1391"/>
    <w:rsid w:val="00CA5363"/>
    <w:rsid w:val="00CB05B2"/>
    <w:rsid w:val="00CB0EB8"/>
    <w:rsid w:val="00CB308C"/>
    <w:rsid w:val="00CB7393"/>
    <w:rsid w:val="00CC0D75"/>
    <w:rsid w:val="00CC1A89"/>
    <w:rsid w:val="00CC2603"/>
    <w:rsid w:val="00CC553C"/>
    <w:rsid w:val="00CC5572"/>
    <w:rsid w:val="00CC7A34"/>
    <w:rsid w:val="00CD0A7F"/>
    <w:rsid w:val="00CD2CDC"/>
    <w:rsid w:val="00CE4A01"/>
    <w:rsid w:val="00CE4F8E"/>
    <w:rsid w:val="00CF723A"/>
    <w:rsid w:val="00CF7B0E"/>
    <w:rsid w:val="00D0021E"/>
    <w:rsid w:val="00D00E94"/>
    <w:rsid w:val="00D029DC"/>
    <w:rsid w:val="00D03C54"/>
    <w:rsid w:val="00D0436C"/>
    <w:rsid w:val="00D044E7"/>
    <w:rsid w:val="00D0510D"/>
    <w:rsid w:val="00D0707D"/>
    <w:rsid w:val="00D10735"/>
    <w:rsid w:val="00D109CB"/>
    <w:rsid w:val="00D10A1C"/>
    <w:rsid w:val="00D11593"/>
    <w:rsid w:val="00D127F6"/>
    <w:rsid w:val="00D3220B"/>
    <w:rsid w:val="00D34690"/>
    <w:rsid w:val="00D368EA"/>
    <w:rsid w:val="00D4034B"/>
    <w:rsid w:val="00D411E5"/>
    <w:rsid w:val="00D413DC"/>
    <w:rsid w:val="00D472F4"/>
    <w:rsid w:val="00D51334"/>
    <w:rsid w:val="00D51BB6"/>
    <w:rsid w:val="00D55DD4"/>
    <w:rsid w:val="00D57488"/>
    <w:rsid w:val="00D60BEA"/>
    <w:rsid w:val="00D62F67"/>
    <w:rsid w:val="00D6674D"/>
    <w:rsid w:val="00D66750"/>
    <w:rsid w:val="00D71CDD"/>
    <w:rsid w:val="00D7255E"/>
    <w:rsid w:val="00D73EC2"/>
    <w:rsid w:val="00D76B01"/>
    <w:rsid w:val="00D76E39"/>
    <w:rsid w:val="00D827F6"/>
    <w:rsid w:val="00D87109"/>
    <w:rsid w:val="00D87E1A"/>
    <w:rsid w:val="00D90076"/>
    <w:rsid w:val="00D92279"/>
    <w:rsid w:val="00D92329"/>
    <w:rsid w:val="00D92BA3"/>
    <w:rsid w:val="00D93B44"/>
    <w:rsid w:val="00D971A5"/>
    <w:rsid w:val="00DA1C72"/>
    <w:rsid w:val="00DA1DB1"/>
    <w:rsid w:val="00DA1EE1"/>
    <w:rsid w:val="00DA345F"/>
    <w:rsid w:val="00DA54F3"/>
    <w:rsid w:val="00DA5520"/>
    <w:rsid w:val="00DB0910"/>
    <w:rsid w:val="00DB5192"/>
    <w:rsid w:val="00DB6477"/>
    <w:rsid w:val="00DB6795"/>
    <w:rsid w:val="00DC6EE7"/>
    <w:rsid w:val="00DD07B4"/>
    <w:rsid w:val="00DD2D95"/>
    <w:rsid w:val="00DD3EC8"/>
    <w:rsid w:val="00DD70DA"/>
    <w:rsid w:val="00DE0088"/>
    <w:rsid w:val="00DE0665"/>
    <w:rsid w:val="00DE507F"/>
    <w:rsid w:val="00DE628F"/>
    <w:rsid w:val="00DF3A1B"/>
    <w:rsid w:val="00DF437A"/>
    <w:rsid w:val="00DF481D"/>
    <w:rsid w:val="00DF48BE"/>
    <w:rsid w:val="00DF5652"/>
    <w:rsid w:val="00DF6DC1"/>
    <w:rsid w:val="00E01DC6"/>
    <w:rsid w:val="00E03691"/>
    <w:rsid w:val="00E11AF0"/>
    <w:rsid w:val="00E22C8C"/>
    <w:rsid w:val="00E234FE"/>
    <w:rsid w:val="00E24CB4"/>
    <w:rsid w:val="00E25E1A"/>
    <w:rsid w:val="00E26F9F"/>
    <w:rsid w:val="00E307C6"/>
    <w:rsid w:val="00E35CD4"/>
    <w:rsid w:val="00E367BD"/>
    <w:rsid w:val="00E41464"/>
    <w:rsid w:val="00E55903"/>
    <w:rsid w:val="00E57507"/>
    <w:rsid w:val="00E61317"/>
    <w:rsid w:val="00E61DCE"/>
    <w:rsid w:val="00E63CD0"/>
    <w:rsid w:val="00E7394F"/>
    <w:rsid w:val="00E74DF2"/>
    <w:rsid w:val="00E75529"/>
    <w:rsid w:val="00E75893"/>
    <w:rsid w:val="00E7640F"/>
    <w:rsid w:val="00E766E0"/>
    <w:rsid w:val="00E8046D"/>
    <w:rsid w:val="00E81D47"/>
    <w:rsid w:val="00E82E29"/>
    <w:rsid w:val="00E873ED"/>
    <w:rsid w:val="00E93FE3"/>
    <w:rsid w:val="00E94801"/>
    <w:rsid w:val="00EA0206"/>
    <w:rsid w:val="00EA05E2"/>
    <w:rsid w:val="00EA170F"/>
    <w:rsid w:val="00EA270E"/>
    <w:rsid w:val="00EA7E97"/>
    <w:rsid w:val="00EB0859"/>
    <w:rsid w:val="00EB0AF7"/>
    <w:rsid w:val="00EB12B5"/>
    <w:rsid w:val="00EB22E0"/>
    <w:rsid w:val="00EB41D9"/>
    <w:rsid w:val="00EB62D2"/>
    <w:rsid w:val="00EC249E"/>
    <w:rsid w:val="00EC2E86"/>
    <w:rsid w:val="00EC3E7E"/>
    <w:rsid w:val="00EC64AD"/>
    <w:rsid w:val="00ED3F21"/>
    <w:rsid w:val="00ED44BD"/>
    <w:rsid w:val="00EE145E"/>
    <w:rsid w:val="00EF17EE"/>
    <w:rsid w:val="00EF2F8B"/>
    <w:rsid w:val="00F00243"/>
    <w:rsid w:val="00F00942"/>
    <w:rsid w:val="00F0139A"/>
    <w:rsid w:val="00F025AB"/>
    <w:rsid w:val="00F027F4"/>
    <w:rsid w:val="00F0370C"/>
    <w:rsid w:val="00F04DEB"/>
    <w:rsid w:val="00F05900"/>
    <w:rsid w:val="00F112C7"/>
    <w:rsid w:val="00F13A8A"/>
    <w:rsid w:val="00F1612A"/>
    <w:rsid w:val="00F22DF3"/>
    <w:rsid w:val="00F24363"/>
    <w:rsid w:val="00F27F61"/>
    <w:rsid w:val="00F30232"/>
    <w:rsid w:val="00F35270"/>
    <w:rsid w:val="00F3670B"/>
    <w:rsid w:val="00F36AD9"/>
    <w:rsid w:val="00F36D8F"/>
    <w:rsid w:val="00F40285"/>
    <w:rsid w:val="00F44BB5"/>
    <w:rsid w:val="00F4703C"/>
    <w:rsid w:val="00F50472"/>
    <w:rsid w:val="00F541D6"/>
    <w:rsid w:val="00F55061"/>
    <w:rsid w:val="00F57921"/>
    <w:rsid w:val="00F67AC2"/>
    <w:rsid w:val="00F67BE7"/>
    <w:rsid w:val="00F71FF6"/>
    <w:rsid w:val="00F74F01"/>
    <w:rsid w:val="00F766E1"/>
    <w:rsid w:val="00F76FCB"/>
    <w:rsid w:val="00F77B40"/>
    <w:rsid w:val="00F84D0B"/>
    <w:rsid w:val="00F87619"/>
    <w:rsid w:val="00F94BC5"/>
    <w:rsid w:val="00FA0959"/>
    <w:rsid w:val="00FA3E27"/>
    <w:rsid w:val="00FA50A9"/>
    <w:rsid w:val="00FA5334"/>
    <w:rsid w:val="00FA66C1"/>
    <w:rsid w:val="00FA6827"/>
    <w:rsid w:val="00FA7359"/>
    <w:rsid w:val="00FB054B"/>
    <w:rsid w:val="00FB3C70"/>
    <w:rsid w:val="00FC05CD"/>
    <w:rsid w:val="00FC2647"/>
    <w:rsid w:val="00FC51ED"/>
    <w:rsid w:val="00FD2EEB"/>
    <w:rsid w:val="00FE0080"/>
    <w:rsid w:val="00FE0D1A"/>
    <w:rsid w:val="00FE0D68"/>
    <w:rsid w:val="00FE1A65"/>
    <w:rsid w:val="00FE3241"/>
    <w:rsid w:val="00FE42D4"/>
    <w:rsid w:val="00FE5011"/>
    <w:rsid w:val="00FE66F1"/>
    <w:rsid w:val="00FE6A52"/>
    <w:rsid w:val="00FE7978"/>
    <w:rsid w:val="00FF1921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5EB61"/>
  <w15:docId w15:val="{2C10DC40-2EF9-4507-8947-A53A24E1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ED0"/>
    <w:pPr>
      <w:widowControl w:val="0"/>
      <w:suppressAutoHyphens/>
      <w:jc w:val="left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85ED0"/>
    <w:pPr>
      <w:keepNext/>
      <w:numPr>
        <w:numId w:val="1"/>
      </w:numPr>
      <w:ind w:left="0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00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00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885E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85E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F13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48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5ED0"/>
    <w:rPr>
      <w:rFonts w:ascii="Arial" w:eastAsia="Lucida Sans Unicode" w:hAnsi="Arial" w:cs="Arial"/>
      <w:b/>
      <w:bCs/>
      <w:lang w:eastAsia="ar-SA"/>
    </w:rPr>
  </w:style>
  <w:style w:type="character" w:customStyle="1" w:styleId="Nagwek4Znak">
    <w:name w:val="Nagłówek 4 Znak"/>
    <w:basedOn w:val="Domylnaczcionkaakapitu"/>
    <w:link w:val="Nagwek4"/>
    <w:rsid w:val="00885ED0"/>
    <w:rPr>
      <w:rFonts w:ascii="Times New Roman" w:eastAsia="Lucida Sans Unicode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885ED0"/>
    <w:rPr>
      <w:rFonts w:ascii="Times New Roman" w:eastAsia="Lucida Sans Unicode" w:hAnsi="Times New Roman" w:cs="Times New Roman"/>
      <w:b/>
      <w:bCs/>
      <w:i/>
      <w:iCs/>
      <w:sz w:val="26"/>
      <w:szCs w:val="26"/>
      <w:lang w:eastAsia="ar-SA"/>
    </w:rPr>
  </w:style>
  <w:style w:type="character" w:styleId="Hipercze">
    <w:name w:val="Hyperlink"/>
    <w:uiPriority w:val="99"/>
    <w:rsid w:val="00885ED0"/>
    <w:rPr>
      <w:color w:val="000080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85ED0"/>
    <w:pPr>
      <w:keepLines/>
      <w:widowControl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85ED0"/>
    <w:pPr>
      <w:spacing w:before="360"/>
    </w:pPr>
    <w:rPr>
      <w:rFonts w:asciiTheme="majorHAnsi" w:hAnsiTheme="majorHAnsi"/>
      <w:b/>
      <w:bCs/>
      <w:caps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85ED0"/>
    <w:pPr>
      <w:spacing w:before="240"/>
    </w:pPr>
    <w:rPr>
      <w:rFonts w:asciiTheme="minorHAnsi" w:hAnsiTheme="minorHAnsi"/>
      <w:b/>
      <w:bCs/>
      <w:sz w:val="20"/>
    </w:rPr>
  </w:style>
  <w:style w:type="paragraph" w:styleId="Akapitzlist">
    <w:name w:val="List Paragraph"/>
    <w:basedOn w:val="Normalny"/>
    <w:uiPriority w:val="34"/>
    <w:qFormat/>
    <w:rsid w:val="007613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7E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E1A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7E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7E1A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159B0"/>
    <w:pPr>
      <w:ind w:left="240"/>
    </w:pPr>
    <w:rPr>
      <w:rFonts w:asciiTheme="minorHAnsi" w:hAnsiTheme="minorHAnsi"/>
      <w:sz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3159B0"/>
    <w:pPr>
      <w:ind w:left="480"/>
    </w:pPr>
    <w:rPr>
      <w:rFonts w:asciiTheme="minorHAnsi" w:hAnsiTheme="minorHAnsi"/>
      <w:sz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3159B0"/>
    <w:pPr>
      <w:ind w:left="720"/>
    </w:pPr>
    <w:rPr>
      <w:rFonts w:asciiTheme="minorHAnsi" w:hAnsiTheme="minorHAnsi"/>
      <w:sz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3159B0"/>
    <w:pPr>
      <w:ind w:left="960"/>
    </w:pPr>
    <w:rPr>
      <w:rFonts w:asciiTheme="minorHAnsi" w:hAnsiTheme="minorHAnsi"/>
      <w:sz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3159B0"/>
    <w:pPr>
      <w:ind w:left="1200"/>
    </w:pPr>
    <w:rPr>
      <w:rFonts w:asciiTheme="minorHAnsi" w:hAnsiTheme="minorHAnsi"/>
      <w:sz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3159B0"/>
    <w:pPr>
      <w:ind w:left="1440"/>
    </w:pPr>
    <w:rPr>
      <w:rFonts w:asciiTheme="minorHAnsi" w:hAnsiTheme="minorHAnsi"/>
      <w:sz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3159B0"/>
    <w:pPr>
      <w:ind w:left="1680"/>
    </w:pPr>
    <w:rPr>
      <w:rFonts w:asciiTheme="minorHAnsi" w:hAnsiTheme="minorHAnsi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9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944"/>
    <w:rPr>
      <w:rFonts w:ascii="Tahoma" w:eastAsia="Lucida Sans Unicode" w:hAnsi="Tahoma" w:cs="Tahoma"/>
      <w:sz w:val="16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950070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9500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Bezodstpw">
    <w:name w:val="No Spacing"/>
    <w:link w:val="BezodstpwZnak"/>
    <w:uiPriority w:val="1"/>
    <w:qFormat/>
    <w:rsid w:val="005231E8"/>
    <w:pPr>
      <w:jc w:val="left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5231E8"/>
    <w:rPr>
      <w:rFonts w:eastAsiaTheme="minorEastAsia"/>
    </w:rPr>
  </w:style>
  <w:style w:type="character" w:customStyle="1" w:styleId="Nagwek6Znak">
    <w:name w:val="Nagłówek 6 Znak"/>
    <w:basedOn w:val="Domylnaczcionkaakapitu"/>
    <w:link w:val="Nagwek6"/>
    <w:uiPriority w:val="9"/>
    <w:rsid w:val="00AF13B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ar-SA"/>
    </w:rPr>
  </w:style>
  <w:style w:type="paragraph" w:styleId="Tytu">
    <w:name w:val="Title"/>
    <w:basedOn w:val="Normalny"/>
    <w:link w:val="TytuZnak"/>
    <w:qFormat/>
    <w:rsid w:val="00D93B44"/>
    <w:pPr>
      <w:widowControl/>
      <w:suppressAutoHyphens w:val="0"/>
      <w:jc w:val="center"/>
    </w:pPr>
    <w:rPr>
      <w:rFonts w:eastAsia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93B4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481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Legenda">
    <w:name w:val="caption"/>
    <w:basedOn w:val="Normalny"/>
    <w:next w:val="Normalny"/>
    <w:qFormat/>
    <w:rsid w:val="00963B1B"/>
    <w:pPr>
      <w:widowControl/>
      <w:suppressAutoHyphens w:val="0"/>
      <w:spacing w:before="120" w:after="120"/>
    </w:pPr>
    <w:rPr>
      <w:rFonts w:eastAsia="Times New Roman"/>
      <w:b/>
      <w:bCs/>
      <w:sz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0AD2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0AD2"/>
    <w:rPr>
      <w:rFonts w:ascii="Times New Roman" w:eastAsia="Lucida Sans Unicode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0AD2"/>
    <w:rPr>
      <w:vertAlign w:val="superscript"/>
    </w:rPr>
  </w:style>
  <w:style w:type="paragraph" w:customStyle="1" w:styleId="Default">
    <w:name w:val="Default"/>
    <w:rsid w:val="008303EE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771F2-51F3-440C-AAAA-5F1B06D36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5169</TotalTime>
  <Pages>1</Pages>
  <Words>8149</Words>
  <Characters>48900</Characters>
  <Application>Microsoft Office Word</Application>
  <DocSecurity>0</DocSecurity>
  <Lines>407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maliki</dc:creator>
  <cp:lastModifiedBy>Iwona Borkowska</cp:lastModifiedBy>
  <cp:revision>260</cp:revision>
  <cp:lastPrinted>2024-05-21T10:23:00Z</cp:lastPrinted>
  <dcterms:created xsi:type="dcterms:W3CDTF">2017-07-03T08:50:00Z</dcterms:created>
  <dcterms:modified xsi:type="dcterms:W3CDTF">2024-05-21T10:24:00Z</dcterms:modified>
</cp:coreProperties>
</file>